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D-4285/2014 vom 7. Mai 2015</w:t>
      </w:r>
    </w:p>
    <w:p>
      <w:r>
        <w:t>Bundesverwaltungsgericht, 2015-05-07, DE</w:t>
      </w:r>
    </w:p>
    <w:p>
      <w:r>
        <w:rPr>
          <w:b/>
        </w:rPr>
        <w:t xml:space="preserve">Quelle: </w:t>
      </w:r>
      <w:r>
        <w:t>https://mcp.opencaselaw.ch/entscheid/bvger_D-4285_2014</w:t>
      </w:r>
    </w:p>
    <w:p>
      <w:r>
        <w:t>FR: TAF D-4285/2014 du 7 mai 2015</w:t>
      </w:r>
    </w:p>
    <w:p>
      <w:r>
        <w:t>IT: TAF D-4285/2014 del 7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Abteilungen des Bundesverwaltungsgerichts entscheiden in der Regel in der Besetzung mit drei Richter oder Richterinnen (Spruchkörper; Art. 21 Abs. 1 VGG). Das Gericht kann - wie vorliegend - auch in solchen Fällen auf die Durchführung eines Schriftenwechsels verzichten (Art. 111a Abs. 1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Beschwerdeführerinnen lassen auf Beschwerdeebene vortragen, durch die eingereichten Dokumente - Anmeldeformular und Mitgliederausweis - sei die Mitgliedschaft der Beschwerdeführerin bei der DTP (Partei der demokratischen Gesellschaft) offensichtlich. Da es seit den 90-er Jahren sehr viele kurdische Parteien gegeben habe, spreche es nicht gegen die Beschwerdeführerin, wenn sie diese Namen nicht chronologisch habe aufzählen können. Massgebend sei, dass die Beschwerdeführerin aus einer politischen Familie stamme. Zurzeit werde sie in der Türkei gesucht, was durch ein entsprechendes Dokument belegt werde. Nachdem der vorinstanzliche Entscheid ergangen sei, habe sie von ihren Eltern erfahren, dass ein Polizist eine Vorladung abgegeben habe, wonach die Beschwerdeführerin vor Gericht erscheinen müsse. Sie gehe davon aus, dass sie wegen Unterstützung der PKK angezeigt worden sei. Jedenfalls werde sie immer wieder von der Polizei bei den Eltern gesucht. Auch die legalen Parteien würden intensiv von den türkischen Behörden überwacht.</w:t>
      </w:r>
    </w:p>
    <w:p>
      <w:r>
        <w:rPr>
          <w:b/>
        </w:rPr>
        <w:t>E. 5.2</w:t>
      </w:r>
    </w:p>
    <w:p>
      <w:r>
        <w:t>Weiter wird in der Beschwerdeschrift ausführlich die Praxis des Bundesverwaltungsgerichts zur Thematik der Reflexverfolgung wiedergegeben. In Bezug auf die Beschwerdeführerin wird ausgeführt, der grösste Teil der Familie habe die Türkei zwischenzeitlich verlassen. Ein Bruder sowie verschiedene Cousins lebten heute in der Schweiz und Deutschland, würden aber von den türkischen Behörden gesucht. Es könne nicht ausgeschlossen werden, dass die Beschwerdeführerin im Falle der Rückkehr in ihr Heimatland verstärkt in den Fokus der Behörden geraten würde. Es erscheine wahrscheinlich, dass die türkischen Behörden ein Interesse daran hätten, die Beschwerdeführerin zu befragen, um Informationen über ihre in der Schweiz lebenden, gesuchten Verwandten zu erhalten. Insofern sei das Interesse an ihr auch grösser als dasjenige an den im Heimatstaat verbliebenen Verwandten. Somit bestehe ein nicht abschätzbares Risiko, dass sie bereits bei der Einreise in die Türkei mit massiven behördlichen Beeinträchtigungen zu rechnen hätte. Die Beschwerdeführerin habe damit begründeten Anlass zur Furcht vor künftiger (Reflex )Verfolgung im Sinne von Art. 3 AsylG.</w:t>
      </w:r>
    </w:p>
    <w:p>
      <w:r>
        <w:rPr>
          <w:b/>
        </w:rPr>
        <w:t>E. 6.1</w:t>
      </w:r>
    </w:p>
    <w:p>
      <w:r>
        <w:t>Soweit die Beschwerdeführerin - am Rande - eine Verfolgungsgefahr aufgrund ihrer Parteimitgliedschaft in der DTP geltend macht, kommt das Gericht zum Schluss, dass die Vorinstanz im Ergebnis zutreffend festhielt, es sei nicht von einer begründeten Furcht vor einer zukünftigen asylrelevanten Verfolgung auszugehen. Dabei mag zutreffen, dass genaue Angaben zu den Gründungsdaten der diversen, sich teilweise ablösenden prokurdischen Parteien nicht ohne weiteres erwartet werden können. Als wesentlich erweist sich indessen, dass das Gericht mit der Vorinstanz davon ausgeht, die Beschwerdeführerin verfüge nicht über ein politisches Profil, welches zu einer begründeten Furcht vor einer künftigen asylrelevanten Verfolgung führen würde. Dabei ist insbesondere darauf hinzuweisen, dass die Partei, auf deren Mitgliedschaft sich die Beschwerdeführerin bezieht, nur bis Ende 2009 aktiv war. Sodann gab die Beschwerdeführerin selber an, bei der Nachfolgepartei (BDP) habe sie nie mitgeholfen (vgl. Akten Vorinstanz A 14/17 S. 7). Die von der Beschwerdeführerin auf Beschwerdeebene eingereichte Vorladung (Beschwerdebeilage 5) vermag an dieser Einschätzung nichts zu ändern. Es kann diesbezüglich zunächst auf die entsprechende Erwägung in der Zwischenverfügung vom 5. August 2014 (S. 2) verwiesen werden. Zudem ist auch nicht nachvollziehbar, dass und weshalb die türkischen Behörden Jahre nach der von der Beschwerdeführerin geduldeten Beherbergung von Parteimitgliedern (diese habe bis Mitte 2008 gedauert [vgl. A 14/17 S. 11]) sowie auch lange nach ihrer Ausreise aus dem Heimatland im November 2012 deswegen aktiv geworden sein sollten. Die von der Beschwerdeführerin im Beschwerdeverfahren eingereichten Schreiben, wonach aktuell mehrmals nach ihr gefragt worden sein soll (Eingabe vom 31. August 2014, Beilagen 2 bis 4; BVGer-Akten act. 4), sind als Gefälligkeitsschreiben zu qualifizieren und vermögen am Gesagten nichts zu ändern.</w:t>
      </w:r>
    </w:p>
    <w:p>
      <w:r>
        <w:rPr>
          <w:b/>
        </w:rPr>
        <w:t>E. 6.2</w:t>
      </w:r>
    </w:p>
    <w:p>
      <w:r>
        <w:t>Was die von der Beschwerdeführerin vorgetragene Bedrohung durch die Verwandten ihres Ehemannes anbelangt, wird den diesbezüglichen Erwägungen der Vorinstanz in der Beschwerdeschrift nichts entgegengehalten. Lediglich der Vollständigkeit halber ist deshalb in diesem Zusammenhang auf das Urteil des Bundesverwaltungsgerichts (BVGer) D 4592/2013 vom 8. Januar 2014 (E. 5.1 und 5.2) zu verweisen. Zu weiteren Ausführungen besteht kein Anlass.</w:t>
      </w:r>
    </w:p>
    <w:p>
      <w:r>
        <w:rPr>
          <w:b/>
        </w:rPr>
        <w:t>E. 6.3</w:t>
      </w:r>
    </w:p>
    <w:p>
      <w:r>
        <w:t>Auf Beschwerdeebene begründet die Beschwerdeführerin ihre Furcht vor Verfolgung in erster Linie mit der Befürchtung, im Falle der Rückkehr einer Reflexverfolgung ausgesetzt zu sein.</w:t>
      </w:r>
    </w:p>
    <w:p>
      <w:r>
        <w:rPr>
          <w:b/>
        </w:rPr>
        <w:t>E. 6.3.1</w:t>
      </w:r>
    </w:p>
    <w:p>
      <w:r>
        <w:t>Das Bundesverwaltungsgericht geht davon aus, dass in der Türkei staatliche Repressalien gegen Familienangehörige von politischen Aktivisten existieren, die als sogenannte Reflexverfolgung flüchtlingsrechtlich erheblich sein können.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der reflexverfolgten Person für illegale politische Organisationen hinzukommt beziehungsweise ihr seitens der Behörden unterstellt wird. Ein Regelverhalten der türkischen Behörden lässt sich jedoch nicht ausmachen; vielmehr hängen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Es muss also aufgrund der Umstände des Einzelfalls ermittelt werden, ob die Furcht vor Verfolgung begründet ist (vgl. zum Ganzen EMARK 2005 Nr. 21 und Urteile des BVGer D-627/2014 vom 27. Juni 2014 E. 5.7, mit weiteren Hinweisen).</w:t>
      </w:r>
    </w:p>
    <w:p>
      <w:r>
        <w:rPr>
          <w:b/>
        </w:rPr>
        <w:t>E. 6.3.2</w:t>
      </w:r>
    </w:p>
    <w:p>
      <w:r>
        <w:t>Die von der Beschwerdeführerin befürchtete Reflexverfolgung basiert im Wesentlichen auf dem Umstand, dass sich ihr Bruder sowie mehrere Cousins in der Schweiz aufhalten und ihnen hier Asyl gewährt worden sei. Die Beschwerdeführerin hat dazu verschiedene Schreiben dieser Personen zu den Akten gereicht. Aus dem Zentralen Migrationsinformationssystem (Zemis) wie auch - jedenfalls teilweise - aus den eingereichten Schreiben geht indessen hervor, dass sich die betroffenen Personen schon seit vielen Jahren in der Schweiz aufhalten. So reiste der Bruder der Beschwerdeführerin, M.H., beispielsweise schon im Jahr 2000 ein, drei weitere Verwandte der Beschwerdeführerin zwischen 1998 und 2002 (vgl. Beschwerdebeilagen 9 bis 11). Dass die Beschwerdeführerin nun nach derart langjähriger Landesabwesenheit ihrer Verwandten bei einer allfälligen Rückkehr einer Reflexverfolgung ausgesetzt sein soll, nachdem sie selber erst im Jahr 2011 ausreiste und bis dahin keine entsprechende Verfolgungshandlungen zu gewärtigen hatte beziehungsweise geltend machte, erscheint abwegig. Hinzu kommt, dass es Sache der Beschwerdeführerin gewesen wäre, konkret darzulegen und - soweit möglich - zu belegen, dass und weshalb der türkische Staat auch heute noch ein spezielles Interesse an den vor vielen Jahren ausgereisten Verwandten haben sollte. Solche substanziierte Angaben fehlen indessen in der Beschwerdeschrift.</w:t>
      </w:r>
    </w:p>
    <w:p>
      <w:r>
        <w:rPr>
          <w:b/>
        </w:rPr>
        <w:t>E. 6.4</w:t>
      </w:r>
    </w:p>
    <w:p>
      <w:r>
        <w:t>Zusammenfassend ist festzuhalten, dass die Beschwerdeführerinnen keine Gründe nach Art. 3 AsylG nachweisen oder glaubhaft machen können, weshalb die Voraussetzungen für die Zuerkennung der Flüchtlingseigenschaft nicht erfüllt sind. Es erübrigt sich, auf die weiteren Ausführungen in der Beschwerde und auf die eingereichten Beweismittel im Einzelnen einzugehen, da sie an der Würdigung des vorliegenden Sachverhalts nichts zu ändern vermögen. Die Vorinstanz hat die Asylgesuche der Beschwerdeführerinnen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Auch wenn die Lage für die Angehörigen der kurdischen Ethnie in der Türkei angespannt bleibt, ist, abgesehen von einzelnen Gebieten (vgl. BVGE 2013/2 E. 9.6), nicht von einer Situation allgemeiner Gewalt auszugehen, die einen Wegweisungsvollzug von Asylsuchenden kurdischer Ethnie generell als unzumutbar erscheinen lassen würde (vgl. Urteile des BVGer D-1041/2014 vom 7. Mai 2014 E. 7.4 und D-1455/2013 vom 23. Januar 2014 E. 6.2.1). Da die Beschwerdeführerinnen vor ihrer Ausreise in C._______ lebten (act. A 14/17 S. 3 f., A 3/8 S. 1), sprechen weder die herrschende politische Lage noch andere allgemeine Gründe gegen die Zumutbarkeit einer Rückführung in ihren Heimatstaat.</w:t>
      </w:r>
    </w:p>
    <w:p>
      <w:r>
        <w:rPr>
          <w:b/>
        </w:rPr>
        <w:t>E. 8.4.2</w:t>
      </w:r>
    </w:p>
    <w:p>
      <w:r>
        <w:t>Sodann sind keine Anhaltspunkte vorhanden, die darauf hindeuten würden, die Beschwerdeführerinnen könnten im Heimatland aus persönlichen Gründen wirtschaftlicher, sozialer oder gesundheitlicher Natur einer konkreten Gefährdung im Sinne von Art. 83 Abs. 4 AuG ausgesetzt sein. Die Beschwerdeführerinnen lebten vor ihrer Ausreise bei den Eltern beziehungsweise Grosseltern und diese kamen - nebst ihrem in der Schweiz lebenden Bruder respektive Onkel - auch für den Lebensunterhalt auf (vgl. A 14/17 S. 10). Dass dies mittlerweile nicht mehr möglich wäre, wird nicht dargetan. Auf Beschwerdeebene wird indessen vorgebracht, der Wegweisungsvollzug sei unter dem Aspekt des Kindeswohls nicht zumutbar. Sind von einem allfälligen Wegweisungsvollzug Kinder betroffen, so bildet im Rahmen der Zumutbarkeitsprüfung das Kindeswohl ein Gesichtspunkt von gewichtiger Bedeutung. Dies ergibt sich nicht zuletzt aus einer völkerrechtskonformen Auslegung von Art. 83 Abs. 4 AuG im Lichte von Art. 3 Abs. 1 der Konvention vom 20. November 1989 über die Rechte des Kindes (KRK, SR 0.107). Unter dem Aspekt des Kindeswohls sind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2009/51 E. 5.6 S. 749, je mit Verweis). Angesichts des noch recht jungen Alters der Tochter ist davon auszugehen, dass die Beziehung zur Mutter noch stärker ausgeprägt ist als zu Mitschülerinnen und -schülern oder anderen Freundinnen und Freunden. Aufgrund der Aufenthaltsdauer in der Schweiz kann, unbesehen einer guten Integration, nicht von einer starken Verwurzelung mit dem schweizerischen Umfeld gesprochen werden, sondern aufgrund der Nähe zur Mutter ist der Bezug des Kindes zu ihrem angestammten Kulturkreis auch heute noch als gewichtiger zu betrachten als zur schweizerischen Kultur. Hinzu kommt, dass sich sowohl die Eltern der Beschwerdeführerin, bei denen die Beschwerdeführerinnen vor ihrer Ausreise wohnten, sowie weitere Verwandte in der Türkei befinden. Damit ist das Kind bei seiner Eingliederung in die heimatlichen Gesellschaftsstrukturen nicht allein auf die Unterstützung seiner Mutter angewiesen, und es ist ihm unter Berücksichtigung des Kindeswohls zuzumuten, in den Heimatstaat zurückzukehren.</w:t>
      </w:r>
    </w:p>
    <w:p>
      <w:r>
        <w:rPr>
          <w:b/>
        </w:rPr>
        <w:t>E. 8.4.3</w:t>
      </w:r>
    </w:p>
    <w:p>
      <w:r>
        <w:t>Nach dem Gesagten erweist sich der Vollzug der Wegweisung auch als zumutbar.</w:t>
      </w:r>
    </w:p>
    <w:p>
      <w:r>
        <w:rPr>
          <w:b/>
        </w:rPr>
        <w:t>E. 8.5</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