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D-4284/2011 vom 14. Juni 2012</w:t>
      </w:r>
    </w:p>
    <w:p>
      <w:r>
        <w:t>Bundesverwaltungsgericht, 2012-06-14, DE</w:t>
      </w:r>
    </w:p>
    <w:p>
      <w:r>
        <w:rPr>
          <w:b/>
        </w:rPr>
        <w:t xml:space="preserve">Quelle: </w:t>
      </w:r>
      <w:r>
        <w:t>https://mcp.opencaselaw.ch/entscheid/bvger_D-4284_2011</w:t>
      </w:r>
    </w:p>
    <w:p>
      <w:r>
        <w:t>FR: TAF D-4284/2011 du 14 juin 2012</w:t>
      </w:r>
    </w:p>
    <w:p>
      <w:r>
        <w:t>IT: TAF D-4284/2011 del 14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werden in der Beschwerde formelle Rügen erhoben. Die Vorinstanz habe ihr Ermessen überschritten, den rechtserheblichen Sachverhalt unrichtig und unvollständig festgestellt und überdies unangemessen entschieden.</w:t>
      </w:r>
    </w:p>
    <w:p>
      <w:r>
        <w:rPr>
          <w:b/>
        </w:rPr>
        <w:t>E. 4.2</w:t>
      </w:r>
    </w:p>
    <w:p>
      <w:r>
        <w:t>Die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Der Umstand, dass das BFM eine andere Schlussfolgerung zog als der Beschwerdeführer, stellt somit weder eine Verletzung des rechtlichen Gehörs noch eine Ermessensüberschreitung dar, weshalb die entsprechenden Rügen nicht gehört werden können.</w:t>
      </w:r>
    </w:p>
    <w:p>
      <w:r>
        <w:rPr>
          <w:b/>
        </w:rPr>
        <w:t>E. 4.3</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4.4</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offensichtlich unglaubhaft sind (siehe nachfolgend E. 5.1.). Die entsprechenden Beweisanträge werden demnach abgewiesen. Auch an dieser Stelle gilt es zu berücksichtigen, dass allein der Umstand, dass das BFM eine andere Schlussfolgerung zog als der Beschwerdeführer, keine Verletzung der Untersuchungspflicht darstellt, weshalb die entsprechende Rüge nicht gehört werden kann.</w:t>
      </w:r>
    </w:p>
    <w:p>
      <w:r>
        <w:rPr>
          <w:b/>
        </w:rPr>
        <w:t>E. 5.1</w:t>
      </w:r>
    </w:p>
    <w:p>
      <w:r>
        <w:t>Das Bundesverwaltungsgericht teilt die Auffassung des BFM, wonach die Vorbringen des Beschwerdeführers aufgrund der aufgezeigten Unstimmigkeiten sowie der wenig begründeten Darstellung der Ereignisse nicht geglaubt werden können. Auffallend ist, dass der Beschwerdeführer im Verlauf der direkten Anhörung vom Befrager ausdrücklich aufgefordert wurde, den Vorfall vom 12. Juli 2012 ganz detailliert zu schildern, auch bezüglich jeder Kleinigkeit (vgl. A47/9 S. 5 F. 33). Daraufhin fasste der Beschwerdeführer die diesbezüglichen Ereignisse in zwei äusserst knappen Sätzen zusammen. Nachdem der Befrager ihn erneut aufforderte, genauer zu schildern, was er damals erlebt habe, fasste der Beschwerdeführer die Ereignisse in sieben knappen Sätzen zusammen (vgl. A47/9 S. 5 F. 34). Diese äusserst knappe, fast im Telegrammstil abgefasste Schilderung wirkt plakativ. Der Beschwerdeführer will beim Anblick der beiden Männer "Todesangst" bekommen haben (vgl. A47/9 S. 5 F. 34) und den beiden nur mit viel Glück entkommen sein. Berücksichtigt man den tiefen Eindruck, den ein solches Erlebnis bei jedem Menschen - gleich welchen kulturellen Hintergrunds - hinterlässt, wirken die diesen Sachverhalt betreffenden Ausführungen des Beschwerdeführers abstrakt und könnten in dieser Form jederzeit auch von einer Drittperson nacherzählt werden. Auch wenn sich Opfer eines Gewaltverbrechens oder Menschen, die sich im letzten Moment aus einer tödlichen Gefahr retten konnten, nicht zum eigentlichen Tathergang äussern wollen oder können, sind sie erfahrungsgemäss zu einer differenzierten und anschaulichen Darstellung ihrer inneren Befindlichkeiten imstande, die sich nebst den allgemein bekannten Reaktionen von Gewaltopfern durch Aussagen auszeichnen, die von einer subjektiven Sichtweise geprägt sind. Der Beschwerdeführer konnte jedoch weder seine Todesangst näher beschreiben, noch den glücklichen Umstand benennen, der ihn erkennen liess, dass die beiden bewaffnet waren und ihn töten wollten. Auch seine Gefühle, die er nach der gelungenen Flucht hegte (wie beispielsweise Erleichterung, der Gefahr entkommen zu sein, oder Beklemmung und das Gefühl, weiterhin verfolgt zu werden) bringt er an keiner Stelle der Anhörung zum Ausdruck. Gesamthaft betrachtet fehlen vorliegend sowohl Anzeichen einer persönlichen Betroffenheit als auch Hinweise auf hervorgerufene psychische Reaktionen oder einen Leidensdruck, welche aber erfahrungsgemäss bei derartigen Vorbringen zu erwarten wären. Da die entsprechenden Ausführungen des Beschwerdeführers eine - wie in solchen Fällen übliche - persönlich gefärbte innere Betroffenheit vermissen lassen, sind die von ihm dargelegten Behelligungen als unglaubhaft einzustufen. Auch auf Beschwerdeebene verzichtete der Beschwerdeführer darauf, diesbezüglich konkretere Angaben zu machen. Der Hinweis auf den kulturellen Hintergrund des Beschwerdeführers ist in diesem Zusammenhang unbehelflich. Auch wenn er nicht gewohnt sein will, aus eigener Initiative längere Reden zu halten, besonders gegenüber behördlichen Autoritäten, vermag er daraus nichts zu seinen Gunsten abzuleiten. Zum einen wurde er während der Anhörung wiederholt aufgefordert, seine Vorbringen detailliert beziehungsweise genauer zu schildern (vgl. A47/9 S. 5 F. 33 f.). Zudem ist es unlogisch und mit der allgemeinen Lebenserfahrung nicht zu vereinbaren, dass eine Person in einem Land um Asyl ersucht, vor dessen Behörden sie sich zu fürchten vorgibt. Es drängt sich vielmehr der Eindruck auf, der Beschwerdeführer habe eine erfundene Geschichte als wahr erzählen wollen. Somit können die von ihm geltend gemachten Vorbringen, die ihn zur Flucht bewogen haben sollen, nicht geglaubt werden.</w:t>
      </w:r>
    </w:p>
    <w:p>
      <w:r>
        <w:rPr>
          <w:b/>
        </w:rPr>
        <w:t>E. 5.2</w:t>
      </w:r>
    </w:p>
    <w:p>
      <w:r>
        <w:t>Angesichts der aufgezeigten Sachlage erübrigt es sich, auf die weiteren Ausführungen in der Beschwerde im Einzelnen einzugehen, da diese nicht geeignet sind, zu einer anderen rechtlichen Würdigung der Aktenlage zu führen. Es ist somit festzustellen, dass der Beschwerdeführer einen flüchtlingsrechtlich bedeutsamen Sachverhalt weder nachgewiesen noch glaubhaft gemacht hat. Die Feststellung des Bundesamtes, der Beschwerdeführer erfülle die Flüchtlingseigenschaft nicht, ist dementsprechend zu bestätigen. Das BFM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Öffentlich zugänglichen Quellen zufolge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w:t>
      </w:r>
    </w:p>
    <w:p>
      <w:r>
        <w:rPr>
          <w:b/>
        </w:rPr>
        <w:t>E. 8</w:t>
      </w:r>
    </w:p>
    <w:p>
      <w:r>
        <w:t>Die Lage präsentiert sich jedoch nicht in allen Landesteilen gleich und muss differenziert betrachtet werden. Insbesondere die Lage in der Nordprovinz von Sri Lanka ist nach Einschätzung des Bundesverwaltungsgerichts differenziert einzuschätzen, da sich die Situation gebietsweise sehr unterschiedlich präsentiert (vgl. BVGE 2011/24 E. 13.2. S. 510). Insbesondere in den Gebieten, die bereits seit längerer Zeit unter Regierungskontrolle stehen, das heisst die Distrikte Jaffna und in den südlichen Teilen der Distrikte Vavuniya und Mannar, ist der Alltag eingekehrt. Die Lage in Jaffna hat sich namentlich nach der Öffnung der Verbindungsstrasse A9 (Hauptverkehrsachse zwischen Kandy in der Zentralprovinz nach Jaffna) im November 2009 deutlich gebessert und die Versorgungslage ist entspannt (vgl. a.a.O. E. 13.2.1. S. 510). Der Fortschritt in diesen Gebieten ist beeindruckend und auch einige Schulen sind wieder eröffnet und Spitäler wieder eingerichtet worden (vgl. a.a.O.). 8.1.1 Zusammenfassend ist somit festzustellen, dass in den genannten Provinzen (Distrikt Jaffna und die südlichen Teilen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8.2</w:t>
      </w:r>
    </w:p>
    <w:p>
      <w:r>
        <w:t>Zu prüfen bleibt die individuelle Zumutbarkeit der Wegweisung für den Beschwerdeführer.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Dabei ist für Personen, die wie die Beschwerdeführer, aus der Nordprovinz stammen und die dieses Gebiet vor Beendigung des Bürgerkrieges im Mai 2009 verlassen haben, die aktuell vorliegenden Lebens- und Wohnverhältnisse sorgfältig abzuklären und auf die Zumutbarkeit des Wegweisungsvollzugs hin zu überprüfen (vgl. a.a.O. E.13.2.1.1 und 13.2.1.2 S. 511).</w:t>
      </w:r>
    </w:p>
    <w:p>
      <w:r>
        <w:rPr>
          <w:b/>
        </w:rPr>
        <w:t>E. 8.2.1</w:t>
      </w:r>
    </w:p>
    <w:p>
      <w:r>
        <w:t>Seinen Angaben zufolge ist der Beschwerdeführer in der Nordprovinz aufgewachsen und im Jahr 1996 nach D._______, [...], im Vanni-Distrikt, geflohen. Bereits im Jahr 2002 kehrte er in die Nordprovinz zurück, wo er sich bis zum 12. Juli 2008 aufhielt. Am 13. Juli 2008 begab er sich nach F._______, von wo aus er Sri Lanka eine Woche später verliess, um sich nach Europa zu begeben (vgl. A1/13 S. 2). Der Beschwerdeführer hat somit den grössten Teil seines Lebens in Sri Lanka verbracht, wo seinen Angaben zufolge seine Mutter, seine vier Schwestern und zwei seiner Brüder noch immer in C._______, in der Nordprovinz ausserhalb des "Vanni-Gebiets", leben (vgl. A1/13 S. 4; A47/9 S. 3 F. 14 sowie S. 6 F. 36).</w:t>
      </w:r>
    </w:p>
    <w:p>
      <w:r>
        <w:rPr>
          <w:b/>
        </w:rPr>
        <w:t>E. 8.2.2</w:t>
      </w:r>
    </w:p>
    <w:p>
      <w:r>
        <w:t>Im Rahmen der Befragungen hat der Beschwerdeführer vorgetragen, er habe in Sri Lanka acht Jahre lang die Schule besucht und als Verkäufer gearbeitet (vgl. A1/13 S. 3). Seinen eigenen Angaben zufolge hat der Beschwerdeführer nicht nur Angehörige in Sri Lanka, sondern auch in der Schweiz, wo sein ältester und sein zweitältester Bruder leben (vgl. A1/13 S. 4). In Anbetracht des Umstandes, dass sein in der Schweiz lebender ältester Brüder sich am 12. März 2006 schriftlich an die Schweizer Botschaft in [...] gewandt hat, um für seine Mutter sowie für den Beschwerdeführer ein dreimonatiges Visum für die Schweiz zu erhalten, und er sich in diesem Zusammenhang bereit erklärt hat, für den Aufenthalt seiner Verwandten in der Schweiz finanziell aufzukommen (vgl. A11/15 S. 9 sowie A12/14 S. 9), ist die Aussage des Beschwerdeführers anlässlich der BzP, er pflege mit seinen in der Schweiz lebenden Brüdern keinen Kontakt (vgl. A1/13 S. 4), zu relativieren. Angesichts seiner Aussage bei der DBA, mittlerweile mit seinen in der Schweiz lebenden Brüdern Kontakt aufgenommen zu haben (vgl. A47/9 S. 5 F. 32), sowie angesichts des Umstandes, dass sich sein ältester Bruder bereit erklärt hat, für seinen Aufenthalt in der Schweiz sowie für denjenigen seiner Mutter finanziell aufzukommen, ist auf eine nicht unwesentliche Unterstützung durch seine beiden im Ausland lebenden Brüder zu schliessen.</w:t>
      </w:r>
    </w:p>
    <w:p>
      <w:r>
        <w:rPr>
          <w:b/>
        </w:rPr>
        <w:t>E. 8.2.3</w:t>
      </w:r>
    </w:p>
    <w:p>
      <w:r>
        <w:t>Aufgrund der persönlichen Verhältnisse des Beschwerdeführers ist vom Vorliegen begünstigender Faktoren auszugehen. Es ist somit anzunehmen, dass er bei einer Rückkehr nach Sri Lanka auf ein existierendes, tragfähiges familiäres Netz stossen wird. Bei der Wiedereingliederung in Sri Lanka, wo seine Mutter und sechs seiner Geschwister noch immer in C._______, in der Nordprovinz ausserhalb des "Vanni-Gebiets", leben (vgl. A1/13 S. 4; A47/9 S. 3 F. 14 sowie S. 6 F. 36), können ihm seine Angehörigen gegebenenfalls Unterstützung gewähren. Es bestehen demnach keine konkreten Anhaltspunkte dafür, dass er bei einer Rückkehr nach Sri Lanka in eine existenzielle Notlage geraten würde. Dies um so weniger, als die Ausreise des Beschwerdeführers aus Sri Lanka von dessen Verwandten beziehungsweise von seinem Onkel organisiert und finanziert wurde (vgl. A1/13 S. 9; A47/9 S. 5 F. 31 f.), weshalb davon auszugehen ist, dass sie ihm auch bei ihrer Rückkehr Unterstützung zukommen lassen. 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Gemäss Art. 65 Abs. 1 VwVG haben auf Antrag hin diejenigen Personen Anspruch auf unentgeltliche Rechtspflege, welche nicht über die erforderlichen Mittel verfügen und deren Begehren nicht aussichtslos erscheinen.</w:t>
      </w:r>
    </w:p>
    <w:p>
      <w:r>
        <w:rPr>
          <w:b/>
        </w:rPr>
        <w:t>E. 10.2</w:t>
      </w:r>
    </w:p>
    <w:p>
      <w:r>
        <w:t>Der Beschwerdeführer stellte mit der Beschwerde unter anderem den Antrag, ihm sei die unentgeltliche Rechtspflege im Sinne von Art. 65 Abs. 1 VwVG zu gewähren. Die von ihm gestellten Rechtsbegehren erscheinen im Zeitpunkt der Beschwerdeeingabe nicht aussichtslos und von seiner Bedürftigkeit im Sinne von Art. 65 Abs. 1 VwVG kann ausgegangen werden.</w:t>
      </w:r>
    </w:p>
    <w:p>
      <w:r>
        <w:rPr>
          <w:b/>
        </w:rPr>
        <w:t>E. 10.3</w:t>
      </w:r>
    </w:p>
    <w:p>
      <w:r>
        <w:t>Das Gesuch um Gewährung der unentgeltlichen Rechtspflege im Sinne von Art. 65 Abs. 1 VwVG ist deshalb gutzuheissen. Es sind keine Verfahrenskosten zu erheben. Bei diesem Ausgang des Verfahrens wird keine Parteientschädigung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