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D-4283/2014 vom 10. März 2016</w:t>
      </w:r>
    </w:p>
    <w:p>
      <w:r>
        <w:t>Bundesverwaltungsgericht, 2016-03-10, DE</w:t>
      </w:r>
    </w:p>
    <w:p>
      <w:r>
        <w:rPr>
          <w:b/>
        </w:rPr>
        <w:t xml:space="preserve">Quelle: </w:t>
      </w:r>
      <w:r>
        <w:t>https://mcp.opencaselaw.ch/entscheid/bvger_D-4283_2014</w:t>
      </w:r>
    </w:p>
    <w:p>
      <w:r>
        <w:t>FR: TAF D-4283/2014 du 10 mars 2016</w:t>
      </w:r>
    </w:p>
    <w:p>
      <w:r>
        <w:t>IT: TAF D-4283/2014 del 10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4.2</w:t>
      </w:r>
    </w:p>
    <w:p>
      <w:r>
        <w:t>Die vorstehend aufgeführten Kriterien der Glaubhaftmachung sind mit Blick auf die Asylvorbringen des Beschwerdeführers nicht als erfüllt zu erachten.</w:t>
      </w:r>
    </w:p>
    <w:p>
      <w:r>
        <w:rPr>
          <w:b/>
        </w:rPr>
        <w:t>E. 4.2.1</w:t>
      </w:r>
    </w:p>
    <w:p>
      <w:r>
        <w:t>Das BFM stellte in seiner angefochtenen Verfügung vorab fest, der Beschwerdeführer habe in Bezug auf die geltend gemachten Inhaftierungen im Verlauf des Verfahrens unterschiedliche Angaben gemacht. In der Tat gab der Beschwerdeführer in der Erstbefragung zu Protokoll, in seiner Heimat zwei- bis dreimal, letztmals im Oktober oder November 2011, festgenommen worden zu sein (vgl. Vorakten BFM A6 S. 7), während er in der Anhörung vom 12. Dezember 2013 aussagte, er sei mehrmals ins Gefängnis gekommen, zuletzt "im Jahr 2009, von Oktober bis November" (vgl. Vorakten BFM A15 S. 8 unten). Auf diese Unstimmigkeit angesprochen, erklärte er, in der Erstbefragung nicht "Oktober 2011" gesagt zu haben, da er sich "im Jahr 2011, etwa am 15. oder 20.9." schon in der Schweiz befunden habe (vgl. Vorakten BFM A15 S. 9), welche Aussage jedoch dem von ihm angegebenen Datum seiner Einreise in die Schweiz (15. Oktober 2012) widerspricht. Zwar räumte der Beschwerdeführer im späteren Verlauf der Anhörung vom 12. Dezember 2013 ein, die Jahrzahlen 2011 und 2012 "durcheinander gebracht" zu haben (vgl. Vorakten BFM A15 S. 9 unten). Damit lässt sich indessen der Widerspruch zu der zuvor gemachten Aussage, im Oktober und November 2009 letztmals in Haft gewesen zu sein, noch nicht beseitigen. Auch der in der Beschwerdeschrift (vgl. S. 4) angebrachte Hinweis auf Übersetzungsprobleme vermag nicht zu überzeugen, wurden dem Beschwerdeführer (der zu Beginn der Anhörung [vgl. Vorakten A15 S. 2] noch diesbezügliche Kritik angebracht hatte, dann aber erklärte, den Dolmetscher "Gott sei Dank" gut zu verstehen [vgl. Vorakten A15 S. 4]) doch die festgestellten Ungereimtheiten zur Klärung vorgelegt und bestätigte er schliesslich im Anschluss an die Satz für Satz erfolgte Rückübersetzung die Richtigkeit und Vollständigkeit seiner Angaben mit seiner Unterschrift [vgl. Vorakten BFM A15 S. 14 f.]).</w:t>
      </w:r>
    </w:p>
    <w:p>
      <w:r>
        <w:rPr>
          <w:b/>
        </w:rPr>
        <w:t>E. 4.2.2</w:t>
      </w:r>
    </w:p>
    <w:p>
      <w:r>
        <w:t>Die Zweifel an der Glaubhaftigkeit der Vorbringen werden dadurch erhärtet, dass diese in wesentlichen Punkten zu wenig konkret, detailliert und differenziert dargelegt worden sind und daher nicht den Eindruck vermitteln, der Beschwerdeführer habe das Geschilderte selber erlebt.</w:t>
      </w:r>
    </w:p>
    <w:p>
      <w:r>
        <w:rPr>
          <w:b/>
        </w:rPr>
        <w:t>E. 4.2.2.1</w:t>
      </w:r>
    </w:p>
    <w:p>
      <w:r>
        <w:t>So ist vorab darauf hinzuweisen, dass die Aussagen des Beschwerdeführers, "ungefähr zwei- bis dreimal" (vgl. Vorakten BFM A6 S. 7) beziehungsweise "mehrmals" (vgl. Vorakten BFM A15 S. 8 unten) in Haft gewesen zu sein, sehr unbestimmt wirken. Wie die Vorinstanz überdies zu Recht feststellte, zählte der Beschwerdeführer auf die Frage nach den Gefängnissen, in denen er inhaftiert gewesen sei, die vier bekanntesten Sicherheitsdienste des syrischen Staates auf (vgl. Vorakten BFM A15 S. 10, Antwort auf Frage 84), ohne dabei aber Ortschaften oder Details zu den Haftorten zu nennen. Sodann kann auch der Auffassung der Vorinstanz gefolgt werden, die Schilderung der Situation in den Gefängnissen (Folter, Schlagen, Beschimpfungen, Stromschläge - man könne sich nicht vorstellen, was dort alles gelaufen sei; vgl. Vorakten BFM A15 S. 10, Antwort auf Frage 86) enthalte Elemente der allgemein bekannten Zustände in syrischen Gefängnissen, ohne dass darin aber Realkennzeichen ersichtlich wären. Die blosse Rüge, "angesichts der Tatsache, dass wohl niemand gerne über Folterungen spricht, hätte die Vorinstanz genauer nachfragen müssen", was auch hinsichtlich der Anzahl Verhaftungen gelte (vgl. Beschwerde S. 5), vermag nicht zu überzeugen, zumal dem Beschwerdeführer anlässlich der Anhörung vom 12. Dezember 2013 immer wieder ergänzende Fragen im Zusammenhang mit den geltend gemachten Festnahmen gestellt worden waren (vgl. Vorakten BFM A15 S. 8 ff.). Es besteht daher keine Veranlassung, eine ergänzende Anhörung durchführen zu lassen (vgl. Beschwerde S. 5). Der entsprechende Antrag ist abzulehnen.</w:t>
      </w:r>
    </w:p>
    <w:p>
      <w:r>
        <w:rPr>
          <w:b/>
        </w:rPr>
        <w:t>E. 4.2.2.2</w:t>
      </w:r>
    </w:p>
    <w:p>
      <w:r>
        <w:t>Im Weiteren enthalten auch die Ausführungen des Beschwerdeführers zum Aufgebot in den Reservedienst im Juni 2012 verschiedene Unstimmigkeiten und wenig Realkennzeichen. So bemerkte das BFM vorab zutreffend, es sei nicht nachvollziehbar, wieso der Militärsicherheitsdienst, mithin der militärische Geheimdienst, den Beschwerdeführer zum Reservedient hätte aufbieten sollen. Zwar sei es seit dem Ausbruch der Unruhen in Syrien vorgekommen, dass Stellungspflichtige nicht gemäss der üblichen Praxis zum Dienst in der Armee einberufen worden seien. Es sei jedoch kaum vorstellbar, dass der Geheimdienst die Aufgabe der Einberufung übernommen habe. Sodann wirkt die Schilderung der Flucht vor den Leuten des Militärsicherheitsdienstes (Seine jüngere Schwester habe aus dem Fenster geschaut und die Männer kommen sehen. Nachdem ihn sein Vater angewiesen habe, sich zu verstecken, sei er durch das Fenster zu Nachbarn und später zu einem Berg geflohen; vgl. Vorakten BFM A15 S. 9) nicht nur erfahrungswidrig, sie enthält auch keine erlebnisorientierten Details. Im Übrigen erscheint es in der Tat nicht nachvollziehbar, dass zwar die jüngere Schwester des Beschwerdeführers die Männer sofort als Militärpersonen erkannt, der Vater jedoch erst nach der Bezahlung einer Geldsumme an eine Drittperson erfahren haben soll, wer die Leute überhaupt seien. In der Beschwerdeschrift (vgl. S. 5 f.) wird auf die "oft von Willkür geprägten behördlichen Abläufe in Syrien" verwiesen und im Weiteren festgehalten, es erscheine durchaus plausibel, dass der Sicherheitsdienst erst nach der Bezahlung eines Bestechungsgeldes den Grund für seinen Besuch nenne, andernfalls den Reservisten - ebenso wie bei der Zustellung einer schriftlichen Vorladung - die Möglichkeit der Flucht gewährt würde. Damit und mit der Behauptung, der Beschwerdeführer habe die Flucht sehr wohl genau und detailliert geschildert, insbesondere habe er dafür sogar Elemente der direkten Rede verwendet, lassen sich die Zweifel an der Glaubhaftigkeit derselben jedoch nicht beseitigen.</w:t>
      </w:r>
    </w:p>
    <w:p>
      <w:r>
        <w:rPr>
          <w:b/>
        </w:rPr>
        <w:t>E. 4.2.3</w:t>
      </w:r>
    </w:p>
    <w:p>
      <w:r>
        <w:t>Die beiden im vorinstanzlichen Verfahren eingereichten militärischen Dokumente (Militärdienstbüchlein sowie ein militärisches Entlassungsschreiben) belegen einzig, dass der Beschwerdeführer im Jahr 2008 den obligatorischen Militärdienst abgeschlossen hat. Sie geben jedoch noch keinen konkreten Hinweis darauf, dass er tatsächlich für den Reservedienst in der syrischen Armee aufgeboten worden ist (vgl. dazu auch die Ausführungen in der Vernehmlassung des SEM vom 1. Februar 2016 sowie die Bemerkung im Protokoll der Anhörung vom 12. Dezember 2013 [vgl. Vorakten BFM A15 S. 6 Mitte], wonach der Begriff "Rekrutierung als Reservist, 2. Oktober 2008" lediglich bedeute, dass der Beschwerdeführer am 1. Oktober 2008 den obligatorischen Militärdienst absolviert habe). Nachdem der Beschwerdeführer den Erhalt eines Aufgebots für den Reservedienst nicht hat glaubhaft machen können, besteht keine Veranlassung, näher auf die Ausführungen in der Beschwerdeschrift (vgl. S. 7 f.) zur Situation von syrischen Dienstverweigerern und Deserteuren einzugehen. Auch die blosse Möglichkeit, künftig gegebenenfalls als Reservist aufgeboten zu werden, und die damit verbundene Absicht, diesfalls den Dienst in der syrischen Armee verweigern zu wollen, sind nicht geeignet, zum heutigen Zeitpunkt eine asylrechtlich relevante Gefährdung des Beschwerdeführers als Dienstverweigerer oder Deserteur und damit seine Flüchtlingseigenschaft zu begründen. Dies gilt umso mehr, als der Beschwerdeführer auch nicht glaubhaft machen konnte, in der Vergangenheit als Gegner des syrischen Regimes aufgefallen zu sein, so dass er klarerweise nicht das in BVGE 2015/3 eingehend aufgezeigte erhöhte Risikoprofil aufweist, welches dazu führen kann, dass an die Vorverfolgung - im Kontext der Prüfung einer allfälligen Desertion oder Refraktion - ein herabgesetzter Mass-stab anzuwenden ist.</w:t>
      </w:r>
    </w:p>
    <w:p>
      <w:r>
        <w:rPr>
          <w:b/>
        </w:rPr>
        <w:t>E. 4.3</w:t>
      </w:r>
    </w:p>
    <w:p>
      <w:r>
        <w:t>Zusammenfassend erweist sich, dass der Beschwerdeführer weder asylrelevante Vorfluchtgründe noch einen objektiven Nachfluchtgrund glaubhaft machen konnte.</w:t>
      </w:r>
    </w:p>
    <w:p>
      <w:r>
        <w:rPr>
          <w:b/>
        </w:rPr>
        <w:t>E. 5.1</w:t>
      </w:r>
    </w:p>
    <w:p>
      <w:r>
        <w:t>Es bleibt zu prüfen, ob der Beschwerdeführer durch sein Verhalten nach der Ausreise, namentlich durch ein exilpolitisches Engagement und die Asylgesuchstellung in der Schweiz, befürchten muss, bei einer (hypothetischen) Rückkehr nach Syrien flüchtlingsrechtlich relevanter Verfolgung gemäss Art. 3 AsylG ausgesetzt zu werden.</w:t>
      </w:r>
    </w:p>
    <w:p>
      <w:r>
        <w:rPr>
          <w:b/>
        </w:rPr>
        <w:t>E. 5.2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[S. 352]).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w:t>
      </w:r>
    </w:p>
    <w:p>
      <w:r>
        <w:rPr>
          <w:b/>
        </w:rPr>
        <w:t>E. 5.3</w:t>
      </w:r>
    </w:p>
    <w:p>
      <w:r>
        <w:t>Eine Person, die sich auf den subjektiven Nachfluchtgrund der exilpolitischen Aktivitäten beruft, hat objektiv begründeten Anlass zur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grundsätzlichmassgeblich (Art. 3 und 7 AsylG).</w:t>
      </w:r>
    </w:p>
    <w:p>
      <w:r>
        <w:rPr>
          <w:b/>
        </w:rPr>
        <w:t>E. 5.3.1</w:t>
      </w:r>
    </w:p>
    <w:p>
      <w:r>
        <w:t>Die Geheimdienste des syrischen Regimes von Bashar al-Assad sind auch im Ausland nachrichtendienstlich aktiv, mit dem Ziel, regimekritische Personen zu identifizieren und oppositionelle Gruppierungen zu unterwandern. Die durch Bespitzelung gewonnenen Informationen bilden Grundlage für die Sicherstellung der Überwachung missliebiger Personen bei der Wiedereinreise ins Heimatland. Syrische Staatsangehörige und staatenlose Kurden syrischer Herkunft werden zudem nach einem längeren Auslandsaufenthalt bei der Wiedereinreise regelmässig einem Verhör durch Sicherheitskräfte unterzogen. Wenn sich im Verlauf der Befragungen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 Vor diesem Hintergrund geht das Bundesverwaltungsgericht davon aus, dass nicht ausgeschlossen werden kann, dass syrische Geheimdienste von der Einreichung eines Asylgesuchs in der Schweiz erfahren, insbesondere wenn sich die betroffene Person im Exilland politisch betätigt hat oder mit - aus Sicht des syrischen Regimes - politisch missliebigen, oppositionellen Organisationen, Gruppierungen oder Tätigkeiten in Verbindung gebracht wird. Allein der Umstand, dass syrische Geheimdienste im Ausland aktiv sind,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Vielmehr ist eine öffentliche Exponierung ausschlaggebend, die aufgrund der Persönlichkeit des Asylsuchenden, der Form des Auftritts und aufgrund des Inhalts der in der Öffentlichkeit abgegebenen Erklärungen den Eindruck erweckt, dass der Asylsuchende aus Sicht des syrischen Regimes als potenzielle Bedrohung wahrgenommen wird. Seit Ausbruch des Bürgerkriegs hat es zwar kaum mehr Fälle von zwangsweisen Rückführungen syrischer Staatsangehöriger gegeben, da ein praktisch ausnahmsloser Ausschaffungsstopp für abgelehnte syrische Asylsuchende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Aktivitäten verhört würden.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Festzustellen ist, dass die Aktivitäten der syrischen Geheimdienste in Europa in den letzten Jahren in den Fokus der Nachrichtendienste der betroffenen Länder gerückt sind und aufgrund der ergriffenen Massnahmen nicht mehr ungehindert ausgeübt werden können. Zudem sind seit Ausbruch des Bürgerkriegs mehr als vier Millionen Menschen aus Syrien geflüchtet. Angesichts dieser Dimensionen ist es wenig wahrscheinlich, dass die syrischen Geheimdienste über die logistischen Ressourcen und Möglichkeiten verfügen, um sämtliche regimekritischen exilpolitischen Tätigkeiten syrischer Staatsangehöriger im Ausland systematisch zu überwachen. Zudem kann davon ausgegangen werden, dass durch den Überlebenskampf des Regimes die syrischen Geheimdienste primär auf die Situation im Heimatland konzentriert sind.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 h. wenn sie aufgrund ihrer Persönlichkeit, der Form des Auftritts und aufgrund des Inhalts der in der Öffentlichkeit abgegebenen Erklärungen den Eindruck erweckt, sie werde aus Sicht des syrischen Regimes als potenzielle Bedrohung wahrgenommen (vgl. Urteil D-3839/2013 vom 28. Oktober 2015 E. 6.3.1-6.3.6 m.w.H. [als Referenzurteil publiziert]).</w:t>
      </w:r>
    </w:p>
    <w:p>
      <w:r>
        <w:rPr>
          <w:b/>
        </w:rPr>
        <w:t>E. 5.3.2</w:t>
      </w:r>
    </w:p>
    <w:p>
      <w:r>
        <w:t>Der Beschwerdeführer machte nie geltend, sich in der Schweiz regimekritisch geäussert beziehungsweise exilpolitisch betätigt zu haben.</w:t>
      </w:r>
    </w:p>
    <w:p>
      <w:r>
        <w:rPr>
          <w:b/>
        </w:rPr>
        <w:t>E. 5.3.3</w:t>
      </w:r>
    </w:p>
    <w:p>
      <w:r>
        <w:t>Sodann vermag die blosse Tatsache der Asylgesuchstellung in der Schweiz ebenfalls nicht zur Annahme zu führen, dass der Beschwerdeführer bei einer (hypothetischen) Rückkehr nach Syrien mit beachtlicher Wahrscheinlichkeit einer menschenrechtswidrigen Behandlung ausgesetzt wäre. Zwar kann aufgrund seiner längeren Landesabwesenheit nicht ausgeschlossen werden, dass er bei der Wiedereinreise in sein Heimatland einer Befragung durch die syrischen Behörden unterzogen würde. Da er aber weder ein politisches Engagement noch eine damit in Zusammenhang stehende Verfolgungssituation glaubhaft machen konnte (weshalb nicht davon auszugehen ist, er sei im Zeitpunkt des Verlassens Syriens im Fokus der heimatlichen Behörden gewesen), ist nicht davon auszugehen, dass er bei einer Rückkehr Massnahmen in asylrechtlich relevantem Ausmass befürchten müsste.</w:t>
      </w:r>
    </w:p>
    <w:p>
      <w:r>
        <w:rPr>
          <w:b/>
        </w:rPr>
        <w:t>E. 5.4</w:t>
      </w:r>
    </w:p>
    <w:p>
      <w:r>
        <w:t>Der Beschwerdeführer erfüllt damit die Voraussetzungen für die Zuerkennung der Flüchtlingseigenschaft gemäss Art. 3 AsylG auch unter dem Aspekt subjektiver Nachfluchtgründe gemäss Art. 54 AsylG nicht.</w:t>
      </w:r>
    </w:p>
    <w:p>
      <w:r>
        <w:rPr>
          <w:b/>
        </w:rPr>
        <w:t>E. 6</w:t>
      </w:r>
    </w:p>
    <w:p>
      <w:r>
        <w:t>Zusammenfassend ergibt sich, dass sich weder aus den Vorbringen des Beschwerdeführers noch aus den Akten Hinweise auf eine asylrechtlich relevante Verfolgung beziehungswiese Verfolgungsfurcht ergeben. Das BFM hat deshalb zu Recht die Flüchtlingseigenschaft verneint und das Asylgesuch abgelehnt. In diesem Lichte besehen kann darauf verzichtet werden, auf die übrigen Erwägungen der Vorinstanz sowie auf weitere Darlegungen in der Beschwerdeschrift und insbesondere auf die darin erwähnten, im Internet einsehbaren Urteile und Berichte einzugehen.</w:t>
      </w:r>
    </w:p>
    <w:p>
      <w:r>
        <w:rPr>
          <w:b/>
        </w:rPr>
        <w:t>E. 7.1</w:t>
      </w:r>
    </w:p>
    <w:p>
      <w:r>
        <w:t>Lehnt das BFM beziehungsweise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Gemäss ständiger Rechtsprechung sind die drei Bedingungen für einen Verzicht auf den Vollzug der Wegweisung (Unzulässigkeit, Unzumutbarkeit oder Unmöglichkeit; Art. 83 Abs. 1-4 des Bundesgesetzes vom 16. Dezember 2005 über die Ausländerinnen und Ausländer [AuG, SR 142.20]) alternativer Natur. Sobald eine davon erfüllt ist, erweist sich der Vollzug als undurchführbar und die weitere Anwesenheit der betroffenen Person in der Schweiz ist gemäss den Bestimmungen über die vorläufige Aufnahme zu regeln. Gegen eine allfällige Aufhebung der vorläufigen Aufnahme stünde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w:t>
      </w:r>
    </w:p>
    <w:p>
      <w:r>
        <w:rPr>
          <w:b/>
        </w:rPr>
        <w:t>E. 8.3</w:t>
      </w:r>
    </w:p>
    <w:p>
      <w:r>
        <w:t>Aus dem Gesagten ergibt sich, dass im jetzigen Zeitpunkt die Frage der Unzulässigkeit des Wegweisungsvollzugs (vgl. Beschwerde S. 8 f.) nicht zu prüfen und auf den Antrag, "es sei jedenfalls die Unzulässigkeit des Wegweisungsvollzugs festzustellen" (Rechtsbegehren 4), nicht einzutreten ist.</w:t>
      </w:r>
    </w:p>
    <w:p>
      <w:r>
        <w:rPr>
          <w:b/>
        </w:rPr>
        <w:t>E. 9</w:t>
      </w:r>
    </w:p>
    <w:p>
      <w:r>
        <w:t>Aus diesen Erwägungen ergibt sich, dass die angefochtene Verfügung Bundesrecht nicht verletzt und der rechtserhebliche Sachverhalt richtig sowie vollständig feststellt worden ist (Art.106 Abs.1 AsylG). Die Beschwerde ist abzuweisen, soweit auf diese einzutreten war.</w:t>
      </w:r>
    </w:p>
    <w:p>
      <w:r>
        <w:rPr>
          <w:b/>
        </w:rPr>
        <w:t>E. 10.1</w:t>
      </w:r>
    </w:p>
    <w:p>
      <w:r>
        <w:t>Bei diesem Ausgang des Verfahrens wären dessen Kosten grundsätzlich dem Beschwerdeführer aufzuerlegen (Art. 63 Abs. 1 und 5 VwVG). Da das Bundesverwaltungsgericht dem Beschwerdeführer mit Zwischenverfügung vom 11. August 2014 die unentgeltliche Rechtspflege gemäss Art. 65 Abs. 1 VwVG gewährt und sich an den diesbezüglichen Voraussetzungen nichts geändert hat, sind keine Verfahrenskosten aufzuerlegen.</w:t>
      </w:r>
    </w:p>
    <w:p>
      <w:r>
        <w:rPr>
          <w:b/>
        </w:rPr>
        <w:t>E. 10.2</w:t>
      </w:r>
    </w:p>
    <w:p>
      <w:r>
        <w:t>Aufgrund der ebenfalls mit Zwischenverfügung vom 11. August 2014 angeordneten Bestellung des Rechtsvertreters als amtlicher Rechtsbeistand gemäss Art. 110a Abs. 1 und 3 AsylG ist diesem ein entsprechendes Honorar auszurichten (vgl. für die Grundsätze der Bemessung der Parteientschädigung Art. 7 ff. des Reglements über die Kosten und Entschädigungen vor dem Bundesverwaltungsgericht vom 21. Februar 2008 [VGKE, SR 173.320.2]). Mit der Honorarabrechnung vom 18. Februar 2015 wird ein Vertretungsaufwand in der Höhe von insgesamt Fr. 2049.10 geltend gemacht. Der geltend gemachte Aufwand erscheint angesichts der im vorliegenden Fall gegebenen Rechtsfragen und im Vergleich mit ähnlich gelagerten Fällen als zu hoch, weshalb die Parteientschädigung auf insgesamt Fr. 1505.- (inkl. Auslagen und Mehrwertsteuer)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