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D-4283/2012 vom 11. Februar 2013</w:t>
      </w:r>
    </w:p>
    <w:p>
      <w:r>
        <w:t>Bundesverwaltungsgericht, 2013-02-11, DE</w:t>
      </w:r>
    </w:p>
    <w:p>
      <w:r>
        <w:rPr>
          <w:b/>
        </w:rPr>
        <w:t xml:space="preserve">Quelle: </w:t>
      </w:r>
      <w:r>
        <w:t>https://mcp.opencaselaw.ch/entscheid/bvger_D-4283_2012</w:t>
      </w:r>
    </w:p>
    <w:p>
      <w:r>
        <w:t>FR: TAF D-4283/2012 du 11 février 2013</w:t>
      </w:r>
    </w:p>
    <w:p>
      <w:r>
        <w:t>IT: TAF D-4283/2012 del 11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Für Asylgesuche, die im Ausland vor Inkrafttreten der Asylgesetzände­rung vom 28. September 2012 gestellt worden sind, gel­ten die Artikel 12, 19, 20, 41 Abs. 2, 52 und 68 in der bisherigen Fassung (vgl. Übergangsbestimmung zur Änderung vom 28. September 2012).</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5.1</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soweit möglich und notwendig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der asylsuchenden Person ist diesbezüglich das rechtliche Gehör zu gewähren. Das Bundesamt ist gehalten, den Ver­zicht auf eine Befragung im Ausland in der Verfügung zu begründen (vgl. BVGE 2007/30 E. 5 S. 362).</w:t>
      </w:r>
    </w:p>
    <w:p>
      <w:r>
        <w:rPr>
          <w:b/>
        </w:rPr>
        <w:t>E. 5.2</w:t>
      </w:r>
    </w:p>
    <w:p>
      <w:r>
        <w:t>Vorliegend ging das BFM offenbar davon aus, der Sachverhalt sei schon aufgrund der schriftlichen Eingaben entscheidreif erstellt. Diese Sicht­weise erscheint als vertretbar, sind doch besagte Eingaben relativ de­tailliert und klar formuliert. Unter diesen Umständen erübrigte sich für die Vor­instanz die Aufbietung der Beschwerdeführerin zu einer Befra­gung, auch wenn sie im Rahmen des rechtlichen Gehörs eine solche bean­tragt hatte. Da den vom Bundesverwaltungs­gericht ferner aufgeführ­ten Er­fordernissen (Gewährung des recht­lichen Gehörs; Begründung des Verzichts auf eine Befragung) eben­falls Rechnung getragen wurde, ist die Vorgehensweise des BFM nicht zu beanstanden.</w:t>
      </w:r>
    </w:p>
    <w:p>
      <w:r>
        <w:rPr>
          <w:b/>
        </w:rPr>
        <w:t>E. 6.1</w:t>
      </w:r>
    </w:p>
    <w:p>
      <w:r>
        <w:t>Das Bundesverwaltungs­gericht hat sich in BVGE 2011/24 einge­hend mit der Situation in Sri Lanka befasst und seine Praxis aktuali­siert. Es kam zum Schluss, dass sich die Situation vor Ort insgesamt verbes­sert habe, wobei es aber zahlrei­che Einschränkungen formulierte. Oppositio­nelle müssten nach wie vor mit Verfolgung rechnen. Es gebe ver­schie­dene Risikogruppen. Dar­unter fielen Personen, welche auch nach Beendi­gung des Krie­ges ver­dächtigt würden, mit den LTTE in Verbin­dung zu stehen beziehungs­weise gestanden zu sein. Auch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schliesslich Personen, welche über be­trächtli­che finanzielle Mittel verfügten, eine weitere Risikogruppe (a.a.O. insb. E. 8.).</w:t>
      </w:r>
    </w:p>
    <w:p>
      <w:r>
        <w:rPr>
          <w:b/>
        </w:rPr>
        <w:t>E. 6.2</w:t>
      </w:r>
    </w:p>
    <w:p>
      <w:r>
        <w:t>Die Beschwerdeführerin macht insbesondere geltend, wegen ihres Ehe­mannes (Verfahren D-4330/2012), welcher Zeuge und Opfer eines Ge­waltdeliktes geworden sei, durch eine bewaffnete Gruppierung immer wieder unter Druck gesetzt worden zu sein. Dazu ist festzuhalten, dass das Bundesverwaltungsgericht die Beschwerde des Gatten mit Urteil heuti­gen Datums vollumfänglich abweist. Das Gericht hält im Urteil fest, die von ihm geltend gemachte Verfolgung durch die Sicherheitskräfte re­spektive die EPDP habe er nicht glaubhaft machen können. Die eingereich­ten Beweismittel rechtfertigten keine andere Sichtweise. So seien die beiden Bestätigungsschreiben gemäss seinen Angaben von sei­ner Frau verfasst und den "Bestätigenden" zur Unterschrift vorgelegt wor­den (vgl. E. 5.2). Vor diesem Hintergrund wird der geltend gemachten Reflexverfolgung der Beschwerdeführerin die Grundlage entzogen. Zwar ist nicht ausgeschlossen, dass sie aus anderen als von ihrem Ehemann gel­tend gemachten Gründen Opfer von Einschüchterungen durch eine krimi­nelle Gruppe wurde. In diesem Zusammenhang verweist das BFM aber zu Recht auf die grundsätzlich gegebene Schutzwilligkeit und Schutzfä­higkeit der sri-lankischen Behörden. Stichhaltige Beschwerde­argu­mente für eine andere Sichtweise fehlen. Die eingereich­ten Beweismittel - so namentlich die Bestätigungsschreiben - vermögen als mutmassliche Gefälligkeitsdokumente ebenfalls keine relevante Gefähr­dung zu belegen. Ausserdem ist festzuhalten, dass weder der Ehe­gatte der Beschwerdeführerin noch sie selber Bezüge zu den LTTE gel­tend machen. Schliesslich ist darauf hinzuweisen, dass der in Sri Lanka teilweise nach wie vor angespannten Situation, welcher ein Grossteil der tamilischen Bevölkerung im gan­zen Land ausgesetzt sein kann, aufgrund man­gelnder Intensität in der Regel kein Verfolgungscharak­ter im Sin­ne von Art. 3 AsylG zukommt. Entsprechend rechtfertigen die weiteren Aus­führungen der Be­schwerdeführerin in den Ein­gaben zur generellen Gefährdungssituation ihrer Person nicht die Aner­kennung als Flüchtling. Sie vermag mithin nicht substanziiert dar­zu­tun, inwiefern das BFM zu Unrecht geschlossen habe, sie und ihre Kinder seien nicht schutzbedürftig im Sinne des Asylgesetzes.</w:t>
      </w:r>
    </w:p>
    <w:p>
      <w:r>
        <w:rPr>
          <w:b/>
        </w:rPr>
        <w:t>E. 7</w:t>
      </w:r>
    </w:p>
    <w:p>
      <w:r>
        <w:t>Auf­grund der vor­stehenden Erwägungen erübrigt es sich, auf die weite­ren Aus­führungen ein­zugehen, da sie am festgestellten Ergebnis nichts zu än­dern vermö­gen. Auch von einer vertiefteren Auseinandersetzung mit den eingereichten Beweismitteln kann nach dem Gesagten abgese­hen werden.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