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D-4281/2008 vom 4. Juli 2008</w:t>
      </w:r>
    </w:p>
    <w:p>
      <w:r>
        <w:t>Bundesverwaltungsgericht, 2008-07-04, DE</w:t>
      </w:r>
    </w:p>
    <w:p>
      <w:r>
        <w:rPr>
          <w:b/>
        </w:rPr>
        <w:t xml:space="preserve">Quelle: </w:t>
      </w:r>
      <w:r>
        <w:t>https://mcp.opencaselaw.ch/entscheid/bvger_D-4281_2008</w:t>
      </w:r>
    </w:p>
    <w:p>
      <w:r>
        <w:t>FR: TAF D-4281/2008 du 4 juillet 2008</w:t>
      </w:r>
    </w:p>
    <w:p>
      <w:r>
        <w:t>IT: TAF D-4281/2008 del 4 luglio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zu Gunsten der Gerichtskasse zu überweisen.</w:t>
      </w:r>
    </w:p>
    <w:p>
      <w:r>
        <w:rPr>
          <w:b/>
        </w:rPr>
        <w:t>E. 4</w:t>
      </w:r>
    </w:p>
    <w:p>
      <w:r>
        <w:t>Dieses Urteil geht an: - den Beschwerdeführer (Einschreiben; Beilage: Einzahlungsschein) - die Vorinstanz, mit den Vorakten (...) - (...)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