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D-4280/2015 vom 3. August 2016</w:t>
      </w:r>
    </w:p>
    <w:p>
      <w:r>
        <w:t>Bundesverwaltungsgericht, 2016-08-03, DE</w:t>
      </w:r>
    </w:p>
    <w:p>
      <w:r>
        <w:rPr>
          <w:b/>
        </w:rPr>
        <w:t xml:space="preserve">Quelle: </w:t>
      </w:r>
      <w:r>
        <w:t>https://mcp.opencaselaw.ch/entscheid/bvger_D-4280_2015</w:t>
      </w:r>
    </w:p>
    <w:p>
      <w:r>
        <w:t>FR: TAF D-4280/2015 du 3 août 2016</w:t>
      </w:r>
    </w:p>
    <w:p>
      <w:r>
        <w:t>IT: TAF D-4280/2015 del 3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Beschwerdeschrift vom 9. Juli 2015 macht der Beschwerdeführer im Wesentlichen geltend, er habe im Jahre 2012 beziehungsweise mit Eingang beim Bundesverwaltungsgericht im Jahre 2015 noch Beweismittel eingereicht, darunter auch solche, die den medizinischen Sachverhalt betreffen würden und die auf eine relevante Verfolgung im Heimatstaat schliessen liessen. Das SEM habe es unterlassen, den medizinischen Sachverhalt näher abzuklären, zumal die nachträglich eingereichten Arztberichte, der Arztbericht von Dr. (...) vom 20. Juni 2012, zwei Arztberichte der (...) sowie weitere Arztberichte (Beweismittel 16 - 18), eine direkte Verbindung zwischen den Vorbringen des Beschwerdeführers zu den Asylgründen und den Gesundheitsschäden aufzeichneten. Dementsprechend habe die Vorinstanz einmal mehr einen formellen Fehler begangen, zumal die Beweismittel nicht oder zumindest nicht hinreichend berücksichtigt worden seien, des Weiteren die Problematik nicht weiter abgeklärt worden und der Beschwerdeführer selbst dazu nicht befragt worden sei. Dementsprechend habe die Vorinstanz das rechtliche Gehör, den Untersuchungsgrundsatz und die Begründungspflicht verletzt.</w:t>
      </w:r>
    </w:p>
    <w:p>
      <w:r>
        <w:rPr>
          <w:b/>
        </w:rPr>
        <w:t>E. 5.2</w:t>
      </w:r>
    </w:p>
    <w:p>
      <w:r>
        <w:t>Diese Vorbringen in der Beschwerdeschrift vermögen nicht zu einer veränderten Betrachtungsweise zu führen, zumal die vom Beschwerdeführer postulierte direkte Verbindung zwischen seinen Vorbringen zu den Asylgründen einerseits und den Gesundheitsschäden andererseits in der vom Beschwerdeführer geltend gemachten Form nicht überzeugt. Es ist nämlich grundsätzlich nicht möglich, aufgrund medizinischer Symptome zu schliessen, dass ein bestimmtes Ereignis in der von der asylsuchenden Person geschilderten Art und Weise stattgefunden hat (vgl. BVGE 2015/11 E. 7.2 S. 148 ff.). Dies gilt unter anderem selbst bei einwandfrei diagnostizierten posttraumatischen Belastungsstörungen. Es erübrigt sich vorliegendenfalls indessen, näher auf die vorerwähnte Gerichtspraxis einzugehen, zumal die vom Beschwerdeführer eingereichten Arztzeugnisse den vom Beschwerdeführer widergegebenen Sachverhalt ausnahmslos als gegeben unterstellen und sich auch nicht ansatzweise mit der Plausibilität seiner Vorbringen befassen. Dies ist selbstverständlich nicht als Kritik an den Arztzeugnissen zu verstehen, zumal es zu den Obliegenheiten von Ärzten gehört, Diagnosen zu stellen und Therapien zu verordnen, nicht aber den mutmasslichen Wahrheitsgehalt von Behauptungen zu Geschehnissen im Ausland zu bestimmen. Nach dem Gesagten erbringen die vom Beschwerdeführer eingereichten Arztzeugnisse Beweis lediglich für die darin enthaltenen Diagnosen, weshalb diese Beweismittel im Rahmen der Beurteilung der Wegweisungsvollzugshindernisse zu würdigen sind. Es gab nach dem Gesagten aufgrund der Arztzeugnisse für die Vorinstanz keinen Grund, den Sachverhalt zusätzlich abzuklären. Die Vorinstanz hat in diesem Zusammenhang weder das rechtliche Gehör noch den Untersuchungsgrundsatz oder die Begründungspflicht verletzt. Dementsprechend fallen eine Kassation der angefochtenen Verfügung wie auch eine Rückweisung an die Vorinstanz zu neuem Entscheid ausser Betracht.</w:t>
      </w:r>
    </w:p>
    <w:p>
      <w:r>
        <w:rPr>
          <w:b/>
        </w:rPr>
        <w:t>E. 5.3</w:t>
      </w:r>
    </w:p>
    <w:p>
      <w:r>
        <w:t>Wie die Vorinstanz zu Recht erkannte, hat der Beschwerdeführer keinen Anlass, sich vor einer Rückkehr in den Heimatstaat zu fürchten. Auch bei Wahrunterstellung seiner Vorbringen zur Tötung der Ehefrau wäre davon auszugehen, dass die vermeintliche Ehre der Familie der Ehefrau durch die Tötung der Frau wenigstens nach in Pakistan gängigen Ehrbegriffen wiederhergestellt ist. Dementsprechend ist die angebliche Furcht des Beschwerdeführers, von seinem Schwager ebenfalls getötet zu werden, im pakistanischen Kontext wirklichkeitsfremd. Da es sich bei seinem Schwager um einen privaten Dritten handelt, könnte er diesem gegenüber zudem ohne Weiteres staatlichen Schutz in Anspruch nehmen, zumal er anlässlich der BzP angab, er habe sich in Pakistan zu keinem Zeitpunkt politisch oder religiös betätigt (A5/12 Ziff. 15 S. 6); dementsprechend dürfte er bei einer Bedrohung durch Private auch mit der Unterstützung der staatlichen Behörden rechnen können. Daran vermag auch das bezeichnenderweise erst auf Beschwerdeebene eingereichte Schreiben der PPP vom 9. Januar 2011 nichts zu ändern, zumal es seinen Vorbringen anlässlich der BzP diametral widerspricht und zudem anzunehmen ist, er hätte die ihm zugeschriebenen politischen Aktivitäten bereits anlässlich der BzP erwähnt, wenn diese einen Realitätsbezug hätten. Indessen ist derlei nicht der Fall. Ebenfalls in diesem Zusammenhang zu erwähnen ist der mit Eingabe vom 8. April 2011 nachgeschobene Übergriff durch vier unbekannte Personen, die ihn geschlagen hätten, bis er ohnmächtig geworden sei (vgl. A22/1 Beweismittel 3). Wäre dem tatsächlich so gewesen, hätte der Beschwerdeführer dieses Vorkommnis bereits anlässlich der BzP vom 9. März 2011 zwingend erwähnen müssen, weil ihm dieses wesentliche Ereignis offensichtlich schon zu diesem Zeitpunkt hätte bekannt sein müssen (vgl. A5/12 Ziff. 15 S. 6). Bei dieser Sachlage ist davon auszugehen, dass der Beschwerdeführer bei der Schilderung der angeblichen Verfolgungssituation, wenigstens soweit ihn betreffend, nicht auf Erinnerungen an tatsächliche Begebenheiten zurückgreifen konnte, sondern stattdessen eine Verfolgungssituation erfunden hat. Dementsprechend erübrigt es sich, auf weitere Vorbringen und Beweismittel weiter einzugehen. Stattdessen kann zur Vermeidung von Wiederholungen vollumfänglich auf die zutreffenden Erwägungen in der angefochtenen Verfügung verwiesen werden.</w:t>
      </w:r>
    </w:p>
    <w:p>
      <w:r>
        <w:rPr>
          <w:b/>
        </w:rPr>
        <w:t>E. 5.4</w:t>
      </w:r>
    </w:p>
    <w:p>
      <w:r>
        <w:t>Nach dem Gesagten hat der Beschwerdeführer nichts vorgebracht, das geeignet wäre, die Flüchtlingseigenschaft nachzuweisen oder glaubhaft zu machen. Die Vorinstanz hat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Pakistan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Pakistan herrscht keine landesweite Situation allgemeiner Gewalt, die zur Annahme führen müsste, jede dorthin zurückkehrende Person sei mit erheblicher Wahrscheinlichkeit konkret gefährdet. Der Wegweisungsvollzug ist daher generell zumutbar. Den Akten lassen sich auch keine konkreten Anhaltspunkte dafür entnehmen, dass der Beschwerdeführer aus individuellen Gründen wirtschaftlicher, sozialer oder gesundheitlicher Natur bei einer Rückkehr nach Pakistan in eine existenzbedrohende Situation geraten würde. Der Beschwerdeführer verfügt im Heimatstaat über ein ausgedehntes familiäres Beziehungsnetz (A5/12 Ziff. 12 S. 3 und 4). Zudem verfügt er über Computerkenntnisse und insbesondere über eine akademische Bildung inklusive Abschluss als Bachelor of Science in Mathematik und Physik. Im Anschluss an seine Ausbildung konnte er ferner während mehrerer Jahre Arbeitserfahrung als Lehrer sammeln. Demnach darf davon ausgegangen werden, dass er in der Lage sein wird, sich wieder zu integrieren. Im Heimatstaat dürfte es ihm im Übrigen auch leichter fallen, eine seiner Ausbildung angemessene Beschäftigung in einer Millionenstadt wie Lahore zu finden (vgl. demgegenüber das Arztzeugnis vom 19. April 2016).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 [S. 591 f.]). Es ist dem Beschwerdeführer trotz seiner mehrjährigen Absenz vom Arbeitsmarkt seines Heimatstaats zuzumuten, sich eine Lebensgrundlage zu schaffen. Schliesslich hat er auch die Möglichkeit, ein Gesuch um Gewährung medizinischer Rückkehrhilfe zu stellen und damit auch für die Übergangszeit für eine gewisse Kontinuität bei der Behandlung seines Schmerzsyndroms sowie allfälliger rheumatischer Beschwerden zu sorgen. In diesem Zusammenhang ist auch insofern dem SEM zuzustimmen, als die geltend gemachten gesundheitlichen Probleme den Vollzug der Wegweisung nicht als unzumutbar erscheinen lassen.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