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D-4280/2006 vom 25. Februar 2010</w:t>
      </w:r>
    </w:p>
    <w:p>
      <w:r>
        <w:t>Bundesverwaltungsgericht, 2010-02-25, FR</w:t>
      </w:r>
    </w:p>
    <w:p>
      <w:r>
        <w:rPr>
          <w:b/>
        </w:rPr>
        <w:t xml:space="preserve">Quelle: </w:t>
      </w:r>
      <w:r>
        <w:t>https://mcp.opencaselaw.ch/entscheid/bvger_D-4280_2006</w:t>
      </w:r>
    </w:p>
    <w:p>
      <w:r>
        <w:t>FR: TAF D-4280/2006 du 25 février 2010</w:t>
      </w:r>
    </w:p>
    <w:p>
      <w:r>
        <w:t>IT: TAF D-4280/2006 del 25 febbraio 2010</w:t>
      </w:r>
    </w:p>
    <w:p>
      <w:pPr>
        <w:pStyle w:val="Heading2"/>
      </w:pPr>
      <w:r>
        <w:t>Regeste</w:t>
      </w:r>
    </w:p>
    <w:p>
      <w:r>
        <w:t>Asile et renvoi</w:t>
      </w:r>
    </w:p>
    <w:p>
      <w:pPr>
        <w:pStyle w:val="Heading2"/>
      </w:pPr>
      <w:r>
        <w:t>Erwägungen</w:t>
      </w:r>
    </w:p>
    <w:p>
      <w:r>
        <w:rPr>
          <w:b/>
        </w:rPr>
        <w:t>E. 1</w:t>
      </w:r>
    </w:p>
    <w:p>
      <w:r>
        <w:t>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1.1</w:t>
      </w:r>
    </w:p>
    <w:p>
      <w:r>
        <w:t>Les recours qui étaient pendants devant la CRA au 31 décembre 2006 sont traités par le Tribunal, dans la mesure où il est compétent (art. 53 al. 2 phr. 1 LTAF).</w:t>
      </w:r>
    </w:p>
    <w:p>
      <w:r>
        <w:rPr>
          <w:b/>
        </w:rPr>
        <w:t>E. 1.2</w:t>
      </w:r>
    </w:p>
    <w:p>
      <w:r>
        <w:t>Le nouveau droit de procédure s'applique (art. 53 al. 2 phr. 2 LTAF).</w:t>
      </w:r>
    </w:p>
    <w:p>
      <w:r>
        <w:rPr>
          <w:b/>
        </w:rPr>
        <w:t>E. 1.3</w:t>
      </w:r>
    </w:p>
    <w:p>
      <w:r>
        <w:t>L'intéressé a qualité pour recourir. Présenté dans la forme et les délais prescrits par la loi, le recours est recevable (art. 48 ss PA dans leurs versions en vigueur au moment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En l'occurrence, le recourant a allégué en premier lieu qu'il risquait des préjudices en raison de la publication d'un article qu'il aurait écrit en faveur de la cause kurde dans la revue mensuelle D._______ (cf. procès-verbal de l'audition du [...], p. 4). Début (...), le recourant aurait rédigé plusieurs articles sous le pseudonyme de F._______ et les aurait envoyés à l'éditeur et rédacteur en chef de la revue précitée, E._______. Un de ses articles sur la question kurde aurait été publié dans l'édition de (...). Par la suite, une procédure aurait été ouverte par les autorités contre E._______ pour propagande séparatiste (cf. procès-verbal de l'audition du [...], p. 4 ; acte d'accusation contre E._______). Pour appuyer ses dires, l'intéressé a versé en cause une attestation établie par Maître G._______, qui était alors associée de l'étude chargée de défendre les intérêts de la revue, de laquelle il ressort que (...) avait ouvert une procédure contre E._______ suite à la publication de l'article précité, que la première audience avait eu lieu le (...) et que la procédure visant le recourant avait également impliqué l'étude en question. Il a également produit une copie du procès-verbal de l'audience du (...) dont il ressort que le nom de A._______ est cité comme auteur de l'article en question et une copie de l'acte d'accusation contre E._______. Maître G._______ a par ailleurs confirmé les faits précités au représentant de l'Ambassade de Suisse à Ankara (cf. rapport de l'Ambassade de Suisse à Ankara du [...], p. 1). Elle a en outre ajouté que E._______ avait été acquitté par jugement du (...) en raison de l'abrogation de l'art. 8 de la loi anti-terreur et que le recourant avait envoyé depuis la Suisse un courrier par lequel il admettait être l'auteur de l'article incriminé, mais qu'aucune enquête n'avait été ouverte contre lui pour le même motif.</w:t>
      </w:r>
    </w:p>
    <w:p>
      <w:r>
        <w:rPr>
          <w:b/>
        </w:rPr>
        <w:t>E. 3.1.2</w:t>
      </w:r>
    </w:p>
    <w:p>
      <w:r>
        <w:t>Il ressortait de l'art. 8 de l'ancienne loi anti-terreur turque qu'aucune propagande écrite ou verbale, ou manifestation visant à porter atteinte, par quelque méthode, ou pour quelque but ou motif que ce soit, à l'intégrité territoriale ou nationale de la République de Turquie n'était tolérée. Les auteurs de tels actes encouraient des peines de prison de deux à cinq ans et des amendes de 50 millions de YLT (13'500 EUR) à 100 millions de YLT (27'000 EUR). Cet article de loi a toutefois été abrogé le 19 juillet 2003 (cf. art. 19b de la loi du 15 juillet 2003 n°4928 publiée au Journal officiel n° 25173). Un nouvel article 8 a certes été introduit le 18 juillet 2006 (cf. la loi du 29 juin 2006 n° 5532 publiée au Journal officiel le 18 juillet 2006 n° 26232). La teneur de ce nouvel article est néanmoins différente de l'ancienne, dans la mesure où le nouvel article sanctionne désormais le financement du terrorisme et non plus la propagande contre l'unité de l'Etat. Le Tribunal considère donc, à l'instar de l'ODM, que le recourant ne risque plus de faire l'objet d'une procédure judiciaire en Turquie au titre de cette disposition.</w:t>
      </w:r>
    </w:p>
    <w:p>
      <w:r>
        <w:rPr>
          <w:b/>
        </w:rPr>
        <w:t>E. 3.1.3</w:t>
      </w:r>
    </w:p>
    <w:p>
      <w:r>
        <w:t>Il est vrai que selon certaines sources à disposition, l'abrogation de l'art. 8 de la loi anti-terreur n'a pas empêché par la suite les tribunaux turcs de sanctionner des délits d'opinion en appliquant d'autres dispositions comme l'art. 216 al. 1 du nouveau code de procédure pénale ou l'art. 7 al. 2 de la loi anti-terreur (cf. Helmut Oberdiek, Organisation suisse d'aide aux réfugiés [ci-après : OSAR], Turquie : mise à jour - octobre 2007 ; Helmut Oberdiek, OSAR, Turquie, Mise à jour : développements actuels, octobre 2008). S'agissant de l'art. 216 al. 1 du nouveau code de procédure pénale, force est de constater qu'il ne sanctionne que les actes de provocation du peuple postérieurs au 1er juin 2005 (date d'entrée en vigueur du nouveau code). Il ne saurait donc s'appliquer au recourant dont les actes sont antérieurs à l'entrée en vigueur de la nouvelle loi. La nouvelle loi n'a pas d'effet rétroactif. Quoi qu'il en soit au demeurant de façon plus générale, force est de constater qu'in casu aucune procédure n'avait été ouverte contre l'intéressé par les autorités turques en juin 2005, soit environ deux ans après la séance du (...) au cours de laquelle l'identité de l'auteur de l'article incriminé était connue des autorités turques. Le Tribunal doute dans ces conditions qu'il puisse encourir aujourd'hui encore des sanctions liées à la publication de l'article incriminé. L'intéressé soutient encore qu'il pourrait faire l'objet d'une surveillance plus étroite de la part des autorités de son pays, mais il ne parvient pas à rendre vraisemblable que cette surveillance accrue supposée puisse atteindre une intensité suffisante pour être décisive sous l'angle de l'art. 3 LAsi.</w:t>
      </w:r>
    </w:p>
    <w:p>
      <w:r>
        <w:rPr>
          <w:b/>
        </w:rPr>
        <w:t>E. 3.1.4</w:t>
      </w:r>
    </w:p>
    <w:p>
      <w:r>
        <w:t>Un durcissement de la répression des actes considérés comme séparatistes a certes été observé ces dernières années (cf. REGULA KIENHOLZ, OSAR, Turquie, Situation actuelle - mai 2006, p. 3). Toutefois, il n'y a aucune raison de penser qu'une instruction puisse encore être ouverte contre le recourant, dans la mesure où il a écrit cet article, il y a plus de cinq ans. Au surplus, il n'a apparemment reçu de ses avocats en Turquie aucune communication allant dans ce sens. Par ailleurs, d'après les informations à disposition du Tribunal, la revue D._______ aurait perduré au-delà de (...) et E._______ aurait également pu continuer son activité en tant qu'éditeur et rédacteur en chef (cf. notamment le rapport de l'Ambassade de Suisse à Ankara du [...], p. 1), ce qui laisse supposer que la publication de l'article en question n'était pas d'une gravité telle que le prétend l'intéressé.</w:t>
      </w:r>
    </w:p>
    <w:p>
      <w:r>
        <w:rPr>
          <w:b/>
        </w:rPr>
        <w:t>E. 3.1.5</w:t>
      </w:r>
    </w:p>
    <w:p>
      <w:r>
        <w:t>En conséquence, le Tribunal considère que le recourant ne risque pas de subir de sérieux préjudices au sens de l'art. 3 LAsi en rapport avec l'article qu'il a publié dans la revue D._______ en (...).</w:t>
      </w:r>
    </w:p>
    <w:p>
      <w:r>
        <w:rPr>
          <w:b/>
        </w:rPr>
        <w:t>E. 3.2.1</w:t>
      </w:r>
    </w:p>
    <w:p>
      <w:r>
        <w:t>En deuxième lieu, l'intéressé a allégué avoir été arrêté plusieurs fois par la police turque en raison de son engagement politique pour l'EMEP notamment. Ainsi, il aurait été arrêté en (...) en compagnie d'un certain H._______ qui aurait été membre de l'association IHD, car ils voulaient parler à des journalistes. Ils auraient été détenus au commissariat C._______ pendant une semaine durant laquelle ils auraient également subi des tortures. A cela s'ajoutent deux à trois autres arrestations survenues entre (...). A la suite notamment de manifestations, il aurait en outre été traduit cinq à six fois devant un tribunal, sans toutefois faire l'objet d'un jugement. Il a précisé qu'à chaque fois des tortures physiques et psychologiques lui avaient été infligées. A C._______, on lui aurait ainsi bandé les yeux, puis on aurait frappé la plante de ses pieds avant de lui infliger des décharges électriques (cf. procès-verbal de l'audition du [...], p. 6 ss).</w:t>
      </w:r>
    </w:p>
    <w:p>
      <w:r>
        <w:rPr>
          <w:b/>
        </w:rPr>
        <w:t>E. 3.2.2</w:t>
      </w:r>
    </w:p>
    <w:p>
      <w:r>
        <w:t>Même à admettre que ces préjudices soient avérés, force est de constater une rupture du lien de causalité entre ces événements et le départ du pays en (...) (cf. procès-verbal de l'audition du [...], p. 6 s. et p. 9). S'agissant de l'allégation selon laquelle la police aurait, suite à la fuite de l'intéressé, dit à sa mère qu'il y avait un problème avec lui, elle ne repose que sur le récit rapporté d'un tiers ce qui est insuffisant pour la faire apparaître comme crédible (cf. procès-verbal de l'audition du [...], p. 10). Au surplus, le recourant n'a nullement mentionné ces problèmes lors de sa première audition (cf. procès-verbal de l'audition du [...], p. 4). Dans un premier temps, il n'a en effet mentionné comme motif d'asile que la publication de son article et a répondu par la négative à la question de savoir s'il avait d'autres motifs à faire valoir (cf. procès-verbal de l'audition du [...], p. 4). Dès lors, les motifs invoqués subséquemment par l'intéressé ne sauraient être considérés comme pertinents, puisqu'ils ne constituent pas le facteur déclencheur de la fuite (sur la notion de la rupture du lien de causalité entre un événement donné et la fuite, cf. Jurisprudence et Informations de la Commission suisse de recours en matière d'asile [JICRA] 2000 n° 2 consid. 8c p. 21). A défaut de pertinence des éléments invoqués, la question de la vraisemblance peut être laissée indécise.</w:t>
      </w:r>
    </w:p>
    <w:p>
      <w:r>
        <w:rPr>
          <w:b/>
        </w:rPr>
        <w:t>E. 3.2.3</w:t>
      </w:r>
    </w:p>
    <w:p>
      <w:r>
        <w:t>ll sied encore de relever que le seul fait d'appartenir au parti EMEP n'entraîne pas, en soi, un risque de persécution au sens de l'art. 3 LAsi, dès lors que ce parti est un parti légal en Turquie.</w:t>
      </w:r>
    </w:p>
    <w:p>
      <w:r>
        <w:rPr>
          <w:b/>
        </w:rPr>
        <w:t>E. 3.2.4</w:t>
      </w:r>
    </w:p>
    <w:p>
      <w:r>
        <w:t>Dans un arrêt récent (cf. arrêt du Tribunal administratif fédéral D-4425/2006 du 12 février 2009 consid. 3.3.2 et réf. cit.), le Tribunal a retenu que certains militants actifs du HADEP affichant ouvertement leurs liens avec le PKK ou leur sympathie envers ce mouvement, ou soupçonnés d'entretenir de tels liens, ont également pu être victimes de répressions particulièrement violentes de la part des forces de sécurité turques. En règle générale, tel n'est en revanche pas le cas des milliers de simples membres ou sympathisants du HADEP qui ne disposent d'aucune visibilité politique. S'il est vrai que ceux-ci peuvent faire l'objet de tracasseries policières, d'intimidations, de menaces, d'arrestations de courte de durée, voire d'actes violents d'intensité modérée, par exemple lors d'une garde à vue ou lors de la dispersion d'une manifestation, ils ne sont en principe pas exposés à des mesures extrêmes telles que la torture physique ou psychologique. Les sources consultées évoquent certes des constellations dans lesquelles un risque existerait pour les membres de l'EMEP de subir des persécutions, en particulier lorsque les autorités peuvent reprocher une certaine proximité de ces membres avec le PKK. Toutefois, ce risque apparaît nettement moindre que celui qu'encourent des membres du DTP ([Parti pour une société démocratique, qui a remplacé le HADEP et le DEHAP). L'EMEP s'était en effet allié à ce parti politique, lors des élections de 2004 notamment (cf. REGULA KIENHOLZ, OSAR, Turquie, La situation actuelle - mai 2005, p. 9 ; HELMUT OBERDIEK, OSAR, Turquie, Mise à jour : développements actuels, octobre 2008, p. 15 ss, spéc. p. 17). En l'occurrence, le recourant n'a pas invoqué avoir de lien particulier avec le PKK. Il n'est pas kurde lui-même. Il a certes écrit un article de presse sur la cause kurde. Cela n'est cependant pas suffisant pour le faire passer aux yeux des forces de sécurité turques pour un opposant dangereux. Au demeurant, au vu du dossier, le recourant n'exerce de toute évidence pas un rôle dirigeant au sein de son parti et ne présente dès lors pas un profil particulier. Il a d'ailleurs lui-même expliqué qu'il avait toujours préféré n'être qu'un simple membre et n'aurait pas voulu aller au-delà en assumant une fonction particulière (cf. procès-verbal de l'audition du [...], p. 5). Il ressort en outre du rapport de l'Ambassade de Suisse à Ankara du (...), qu'il n'était ni fiché, ni interdit de passeport, ni recherché par les autorités de son pays au moment de sa fuite.</w:t>
      </w:r>
    </w:p>
    <w:p>
      <w:r>
        <w:rPr>
          <w:b/>
        </w:rPr>
        <w:t>E. 3.2.5</w:t>
      </w:r>
    </w:p>
    <w:p>
      <w:r>
        <w:t>S'agissant de son engagement pour l'association IHD, le Tribunal ne saurait considérer comme vraisemblable qu'il ait comme il le décrit dans son mémoire de recours (p. 9) milité en faveur de l'association IHD et ait de ce fait été arrêté et torturé. En effet, avant le prononcé de la décision de l'ODM, l'intéressé a uniquement allégué s'être fait arrêter une fois en compagnie d'un membre de l'association IHD (cf. procès-verbal de l'audition du [...], p. 6 s.). Il n'a ainsi jamais dit qu'il était membre de cette organisation ou qu'il aurait participé à une de leurs manifestations.</w:t>
      </w:r>
    </w:p>
    <w:p>
      <w:r>
        <w:rPr>
          <w:b/>
        </w:rPr>
        <w:t>E. 3.3</w:t>
      </w:r>
    </w:p>
    <w:p>
      <w:r>
        <w:t>Le recourant invoque enfin appartenir à une famille engagée politiquement depuis de nombreuses années dont les membres seraient sympathisants du parti communiste et de la cause kurde (cf. mémoire de recours, p. 8). Son cousin maternel aurait été tué en (...). A partir (...), sa soeur aurait été emprisonnée durant trois ans. Quant à sa cousine, elle aurait été blessée en (...) et serait désormais invalide (cf. procès-verbal de l'audition du [...], p. 4). D'une part, il ne s'agit là que de simples affirmations nullement étayées. D'autre part, ces faits remontent à plus de vingt ans et ne sont dès lors plus actuels. D'ailleurs, jusque dans les années 2000, le recourant n'a, semble-t-il, jamais rencontré de difficultés avec les autorités. Au surplus, il n'a pas allégué avoir subi concrètement des préjudices de manière réfléchie en raison de l'engagement d'un des membres de sa famille. Il ressort en effet du dossier que c'est bien à cause de son propre engagement qu'il aurait eu des problèmes avec les autorités de son pays d'origine (cf. notamment procès-verbal du [...], p. 4 s. ; procès-verbal de l'audition du [...], p. 4 ss).</w:t>
      </w:r>
    </w:p>
    <w:p>
      <w:r>
        <w:rPr>
          <w:b/>
        </w:rPr>
        <w:t>E. 3.4</w:t>
      </w:r>
    </w:p>
    <w:p>
      <w:r>
        <w:t>Il s'ensuit que le recours, en tant qu'il conteste le refus de l'asile et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In casu, l'exécution du renvoi ne contrevient pas au principe de non-refoulement de l'art. 5 LAsi, l'intéressé n'étant pas un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 Tribunal considère, pour les motifs déjà exposés ci-dessus (cf. consid. 3), que le recourant n'a pas établi l'existence d'un tel risque réel et personnel de subir des traitements prohibés par l'art. 3 CEDH et les autres engagements internationaux contractés par la Suisse, en cas de retour dans son pays.</w:t>
      </w:r>
    </w:p>
    <w:p>
      <w:r>
        <w:rPr>
          <w:b/>
        </w:rPr>
        <w:t>E. 6.5</w:t>
      </w:r>
    </w:p>
    <w:p>
      <w:r>
        <w:t>Dès lors, l'exécution du renvoi du recourant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dont il n'y a pas lieu de s'écarter en vertu du nouveau droit).</w:t>
      </w:r>
    </w:p>
    <w:p>
      <w:r>
        <w:rPr>
          <w:b/>
        </w:rPr>
        <w:t>E. 7.2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pour des motifs personnels eu en cas de retour en Turquie. En effet, il est jeune et bénéficie d'une certaine expérience professionnelle. Au surplus, il n'a pas allégué ni établi qu'il souffrait de problèmes de santé particuliers pour lesquels il ne pourrait être soigné dans son pays et qui seraient susceptibles de rendre son renvoi inexécutable. Il dispose encore d'un réseau familial et social dans son pays, sur lequel il pourra compter à son retour, à savoir notamment sa femme, ses deux enfants, sa mère, deux frères et trois soeurs.</w:t>
      </w:r>
    </w:p>
    <w:p>
      <w:r>
        <w:rPr>
          <w:b/>
        </w:rPr>
        <w:t>E. 7.4</w:t>
      </w:r>
    </w:p>
    <w:p>
      <w:r>
        <w:t>Pour ces motifs, l'exécution du renvoi doit être considérée comme raisonnablement exigible.</w:t>
      </w:r>
    </w:p>
    <w:p>
      <w:r>
        <w:rPr>
          <w:b/>
        </w:rPr>
        <w:t>E. 8</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 l'intéressé, conformément à l'art. 63 al. 1 PA, l'art. 2 et l'art.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