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D-4263/2007 vom 21. September 2007</w:t>
      </w:r>
    </w:p>
    <w:p>
      <w:r>
        <w:t>Bundesverwaltungsgericht, 2007-09-21, DE</w:t>
      </w:r>
    </w:p>
    <w:p>
      <w:r>
        <w:rPr>
          <w:b/>
        </w:rPr>
        <w:t xml:space="preserve">Quelle: </w:t>
      </w:r>
      <w:r>
        <w:t>https://mcp.opencaselaw.ch/entscheid/bvger_D-4263_2007</w:t>
      </w:r>
    </w:p>
    <w:p>
      <w:r>
        <w:t>FR: TAF D-4263/2007 du 21 septembre 2007</w:t>
      </w:r>
    </w:p>
    <w:p>
      <w:r>
        <w:t>IT: TAF D-4263/2007 del 21 settembre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mit weiteren Hinweisen).</w:t>
      </w:r>
    </w:p>
    <w:p>
      <w:r>
        <w:rPr>
          <w:b/>
        </w:rPr>
        <w:t>E. 4.1</w:t>
      </w:r>
    </w:p>
    <w:p>
      <w:r>
        <w:t>Das Bundesamt begründete seine Verfügung damit, dass der Beschwerdeführer gemäss einem Schreiben der DVF vom 25. November 2005 Mitglied der Vereinigung und aktiver Kämpfer gegen die islamische Regierung sei. Er selbst habe geltend gemacht, er sei lediglich Sympathisant der DVF. Gemäss einer Auskunft der SFH-Länderanalyse vom 4. April 2006 unterlägen Mitglieder in Exilorganisationen von im Iran verbotenen oppositionellen Parteien sowie Teilnehmer an Veranstaltungen derselben keiner allgemeinen Verfolgungsgefahr. Die von ihm innert kurzer Zeit eingereichten Beweismittel zeigten, dass allein in der Schweiz innerhalb eines Jahres unzählige exilpolitische Anlässe stattfänden, von denen anschliessend gestellte Gruppenaufnahmen von insgesamt Hunderten von Teilnehmern in einschlägigen Internetseiten publiziert würden, sodass es den iranischen Behörden kaum möglich sein dürfte, diese Gesichter konkreten Namen zuzuordnen. Es stelle sich die Frage, ob er bei einer Rückkehr in den Iran allein wegen der Teilnahme am Hungerstreik im Dezember 2003 gefährdet sein könnte. Er habe gegenüber den Asylbehörden keinerlei politische Aktivitäten geltend gemacht; er habe den Iran angeblich verlassen, weil er aufgrund seiner Heirat einer rumänischen Christin gesucht worden sei. Diese Vorbringen hätten nicht geglaubt werden können. Da er sich politisch nicht betätigt habe, sei nicht anzunehmen, dass er vor dem Verlassen des Heimatlandes als Regimegegner oder politischer Aktivist registriert worden sei. Demzufolge sei auch nicht davon auszugehen, dass er nach seiner Ankunft in der Schweiz unter spezieller Beobachtung seitens der iranischen Behörden gestanden habe. Die Teilnahme am Hungerstreik könne nicht als Fortsetzung seines bereits im Herkunftsland bestehenden politischen Engagements betrachtet werden. Aufgrund der Akten könne auch nicht davon ausgegangen werden, dass er im Zusammenhang mit dem Hungerstreik in den Medien oder anderswo namentlich erwähnt oder aufgrund einer Fotografie identifiziert worden sei. Vorerst sei nicht einmal die DVF über seine Anwesenheit informiert gewesen, sei er doch nicht auf der offiziellen Namensliste der Streikenden gestanden. Erst nachträgliche Abklärungen hätten ergeben, dass er tatsächlich daran beteiligt gewesen sei. Es sei davon auszugehen, dass sich die iranischen Geheimdienste auf die Erfassung von Personen konzentrierten, die über die massentypischen und niedrig profilierten Erscheinungsformen exilpolitischer Proteste hinaus Funktionen wahrgenommen oder Aktivitäten entwickelt hätten. Zusammenfassend lasse sich feststellen, dass der Beschwerdeführer über kein eigentliches politisches Profil verfüge. Bezeichnenderweise habe er die gegenüber dem BFM minutiös belegten exilpolitischen Aktivitäten der beschriebenen stereotypen Art erst ab Mitte 2005, also drei Jahre nach seiner Einreise in die Schweiz, ausgeübt. Die geltend gemachten subjektiven Nachfluchtgründe hielten den Anforderungen an die Flüchtlingseigenschaft gemäss Art. 3 AsylG nicht stand.</w:t>
      </w:r>
    </w:p>
    <w:p>
      <w:r>
        <w:rPr>
          <w:b/>
        </w:rPr>
        <w:t>E. 4.2</w:t>
      </w:r>
    </w:p>
    <w:p>
      <w:r>
        <w:t>In der Beschwerde wird geltend gemacht, es sei allgemein bekannt, dass die iranischen Geheimdienste seit Jahren die exilpolitischen Aktivitäten von Iranern im Ausland beobachteten und erfassten. Zudem werde die politische Betätigung für staatsfeindliche Organisationen im Ausland unter Strafe gestellt. Vorliegend sei zwar nicht belegt, dass der Beschwerdeführer vor seiner Ausreise aufgrund seiner Regimefeindlichkeit Probleme gehabt habe. Aus seiner Vorgeschichte lasse sich aber erkennen, dass er mit den Behörden zu tun gehabt habe, als er von Rumänien in den Iran zurückgekehrt sei. Demnach sei eine Registrierung nicht ausgeschlossen, und man werde ihn bei einer Rückkehr einer intensiveren Kontrolle unterziehen. In diesem Fall dürfte den iranischen Behörden seine Identifizierung nicht schwerfallen, da er auf der Internetseite der DVF veröffentlichten Fotografien deutlich erkennbar sei. Es sei bekannt, dass die iranischen Behörden das Internet systematisch überwachten. Es scheine sehr wahrscheinlich, dass die Fotografien auf der Internetseite der DVF gefunden und identifiziert werden könnten, da die DVF die grösste und aktivste regimefeindliche Organisation in der Schweiz sei. Aus den beiliegenden Fotografien werde ersichtlich, dass der Beschwerdeführer bei den Streiks eine führende Rolle habe und sich aus der Masse heraushebe. So sei er stets im Vordergrund, weshalb er nicht übersehen werden könne. Auch seine aktive Beteiligung lasse sich aus seiner Verhaltensweise, die auf einen nicht unwichtigen Streikträger hindeute, leicht erkennen. Entgegen der Auffassung der Vorinstanz übe er innerhalb der DVF keine untergeordnete Rolle aus. Die beiliegenden Fotografien und die Bestätigungen der DVF belegten, dass er sich sehr aktiv an den Aktivitäten der Organisation beteilige.</w:t>
      </w:r>
    </w:p>
    <w:p>
      <w:r>
        <w:rPr>
          <w:b/>
        </w:rPr>
        <w:t>E. 5.1</w:t>
      </w:r>
    </w:p>
    <w:p>
      <w:r>
        <w:t>In Bezug auf die geltend gemachte Gefährdung des Beschwerdeführers ist zunächst festzuhalten, dass die politische Betätigung für staatsfeindliche Organisationen im Ausland seit der Neufassung des iranischen Strafrechts vom 9. Juli 1996 unter Strafe gestellt ist (Art. 498-500). Die iranischen Behörden überwachen grundsätzlich die politischen Aktivitäten ihrer Staatsangehörigen im Ausland.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Betreffend den Hungerstreik vom Dezember 2003 hatte die Schweizerische Asylrekurskommission (ARK) in einem nicht veröffentlichten Urteil vom 6. September 2004 i.S. B.J. u.a., Iran, eingehend dargelegt, dass davon auszugehen sei, die iranischen Behörden hätten aufgrund des relativ grossen Medienechos im In- und Ausland von dieser Aktion Kenntnis genommen. Es würden zudem konkrete Anhaltspunkte dafür vorliegen, dass der iranische Staat nicht gewillt sei, die anlässlich des Hungerstreiks getätigten rufschädigenden Äusserungen seiner eigenen Staatsangehörigen tatenlos hinzunehmen. Es sei deshalb unter Vorbehalt der Identifizierung durch die iranischen Behörden von der grundsätzlichen Gefährdung der Hungerstreikteilnehmenden auszugehen (vgl. Urteil des Bundesverwaltungsgerichts E-3540/2006 vom 23. April 2007 E. 4.4). Es bleibt demnach zu prüfen, ob der Beschwerdeführer den iranischen Behörden namentlich bekannt geworden ist.</w:t>
      </w:r>
    </w:p>
    <w:p>
      <w:r>
        <w:rPr>
          <w:b/>
        </w:rPr>
        <w:t>E. 5.2</w:t>
      </w:r>
    </w:p>
    <w:p>
      <w:r>
        <w:t>Der Beschwerdeführer konnte im Verlaufe des ersten Asylverfahrens nicht glaubhaft darlegen, dass er in seinem Heimatland aufgrund der von ihm genannten Gründe (Eheschliessung mit einer Christin) mit Verfolgung zu rechnen hatte. Auf entsprechende Nachfrage sagte er aus, er habe ab und zu ein Flugblatt gelesen, aber keine politischen Aktivitäten gehabt, die zu Problemen mit den heimatlichen Behörden geführt hätten. Der Beschwerdeführer schilderte bei den beiden Befragungen, die im Jahre 2002 stattfanden, lediglich, er sei vor 10 beziehungsweise 15 Jahren wegen Drogenkonsums während sechs Monaten in Haft gewesen. Es bestehen somit keine konkreten und glaubhaften Anhaltspunkte dafür, dass er im Iran aufgrund eines den Behörden missliebigen Engagements registriert worden ist. Der Beschwerdeführer weist nicht das Profil eines Regimegegners und politischen Aktivisten auf, weshalb davon auszugehen ist, dass er im Zeitpunkt seiner Ausreise aus dem Iran nicht im Visier der dortigen Sicherheitsbehörden stand. Seine Teilnahme am Hungerstreik im Dezember 2003 kann deshalb nicht als Fortsetzung eines bereits im Heimatland bestehenden politischen Engagements betrachtet werden. Auch ist aus den vorliegenden Akten nicht ersichtlich, dass der Beschwerdeführer im Zusammenhang mit dem Hungerstreik oder der Teilnahme an weiteren Aktionen der DVF in den Medien oder anderswo namentlich erwähnt worden ist, so dass eine einfache Identifizierung möglich wäre. Weiter ist davon auszugehen, dass sich die iranischen Geheimdienste, wie von der Vorinstanz richtig festgestellt,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Nach Erkenntnis des Bundesverwaltungsgerichts unterliegen Mitglieder in Exilorganisationen von im Iran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Verfolgungsgefahr. Wie bereits oben ausgeführt, war der Beschwerdeführer in seinem Heimatland selbst nicht als politischer Aktivist und Regimegegner bekannt. Seine Rolle bei den Aktionen, an denen er teilnahm, geht entgegen der in der Beschwerde vertretenen Auffassung nicht über das hinaus, was viele iranische Staatsangehörige im Rahmen exilpolitischer Aktionen ausführen, ohne dass von einer Gefährdung dieser Personen auszugehen wäre. In der schriftlichen Eingabe vom 20. Juni 2006 wird geltend gemacht, der Beschwerdeführer sei seit November 2005 Sympathisant der DVF; diese bestätigt indessen in einem Schreiben vom 25. November 2005 seine Mitgliedschaft. Bei der Befragung vom 22. August 2006 erklärte der Beschwerdeführer ausdrücklich, der Leiter der DVF habe ihm gesagt, er dürfe dem Verein nicht beitreten. Es dürfte auch den iranischen Behörden aufgefallen sein, dass die exilpolitische Betätigung vieler iranischer Asylbewerber nach der Ablehnung ihrer Asylgesuche oft zunimmt respektive intensiver wird oder überhaupt erst ab diesem Zeitpunkt einsetzt, was das geltend gemachte politische Engagement als zweifelhaft erscheinen lässt.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w:t>
      </w:r>
    </w:p>
    <w:p>
      <w:r>
        <w:rPr>
          <w:b/>
        </w:rPr>
        <w:t>E. 5.3</w:t>
      </w:r>
    </w:p>
    <w:p>
      <w:r>
        <w:t>Es ist somit nicht mit überwiegender Wahrscheinlichkeit davon auszugehen, dass der Beschwerdeführer im Falle einer Rückkehr in den Heimatstaat befürchten muss, dort ernsthafte Nachteile im Sinne von Art. 3 AsylG zu erleiden. Insbesondere fehlen im vorliegenden Fall jegliche aktenkundige Hinweise darauf, dass gegen ihn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Vor diesem Hintergrund und angesichts der umfangreichen regimekritischen Aktivitäten von Iranerinnen und Iranern in ganz Westeuropa erscheint es insgesamt als unwahrscheinlich, dass die iranischen Behörden von den Exilaktivitäten des Beschwerdeführers soweit Notiz genommen haben, dass sie ihn als konkrete und ernsthafte Bedrohung für das politische System empfinden würden und er bei einer Rückkehr befürchten müsste, deswegen verfolgt zu werden.</w:t>
      </w:r>
    </w:p>
    <w:p>
      <w:r>
        <w:rPr>
          <w:b/>
        </w:rPr>
        <w:t>E. 5.4</w:t>
      </w:r>
    </w:p>
    <w:p>
      <w:r>
        <w:t>Abschliessend ist darauf hinzuweisen, dass der Beschwerdeführer aufgrund seiner Ausreise aus dem Iran und der Asylgesuchstellung in der Schweiz bei einer Rückkehr in seine Heimat keine asylrechtlich relevanten Nachteile zu befürchten hat. Für den vorliegenden Fall ist festzustellen, dass die behauptete illegale Ausreise des Beschwerdeführers nicht feststeht und diese mit Blick auf die überwiegend unglaubhaften Verfolgungsvorbringen zumindest zweifelhaft ist. Selbst wenn der Beschwerdeführer jedoch tatsächlich illegal ausgereist und den iranischen Behörden seine Asylgesuchstellung bekannt geworden sein sollte, ist nicht davon auszugehen, dass er bei seiner Rückkehr deswegen mit asylrechtlich relevanten Nachteilen zu rechnen hätte (vgl. EMARK 1998 Nr. 20 E. 9b S. 182 f.)</w:t>
      </w:r>
    </w:p>
    <w:p>
      <w:r>
        <w:rPr>
          <w:b/>
        </w:rPr>
        <w:t>E. 5.5</w:t>
      </w:r>
    </w:p>
    <w:p>
      <w:r>
        <w:t>Aufgrund der vorstehenden Erwägungen erübrigt es sich, auf die weiteren Ausführungen in der Beschwerde oder die eingereichten Beweismittel im Einzelnen einzugehen, weil sie am Ergebnis nichts ändern können. Zusammenfassend ist festzustellen, dass der Beschwerdeführer keine ihm aufgrund der geltend gemachten subjektiven Nachfluchtgründe drohende Verfolgung im Sinne von Art. 3 AsylG glaubhaft machen kann. Der Beschwerdeführer ist demnach nicht als Flüchtling anzuerkennen; das BFM hat das zweite Asylgesuch zu Recht abgelehnt.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6.4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w:t>
      </w:r>
    </w:p>
    <w:p>
      <w:r>
        <w:t>Der Beschwerdeführer verfügt weder über eine fremdenpolizeiliche Aufenthaltsbewilligung noch einen Anspruch auf Erteilung einer solchen. Die Wegweisung wurde demnach zu Recht angeordnet (Art. 44 Abs. 1 AsylG; EMARK 2001 Nr. 21).</w:t>
      </w:r>
    </w:p>
    <w:p>
      <w:r>
        <w:rPr>
          <w:b/>
        </w:rPr>
        <w:t>E. 8.1</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8.2</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sowie jener des UN-Anti-Folterausschusses müsste 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nicht als unzulässig erscheinen. Nach dem Gesagten ist der Vollzug der Wegweisung sowohl im Sinne der asyl- als auch der völkerrechtlichen Bestimmungen zulässig.</w:t>
      </w:r>
    </w:p>
    <w:p>
      <w:r>
        <w:rPr>
          <w:b/>
        </w:rPr>
        <w:t>E. 8.3</w:t>
      </w:r>
    </w:p>
    <w:p>
      <w:r>
        <w:t>Aus humanitären Gründen, nicht in Erfüllung einer völkerrechtlichen Verpflichtung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 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 Der Beschwerdeführer verfügt über diverse Berufserfahrungen und - soweit den Akten entnommen werden kann - über ein familiäres Beziehungsnetz. Bereits im Rahmen des ersten Asylverfahrens wurde festgestellt, dass Drogenabhängige im Iran behandelt werden können, stehen dort doch Methadonbehandlungen und spezialisierte öffentliche und private Kliniken zur Verfügung.</w:t>
      </w:r>
    </w:p>
    <w:p>
      <w:r>
        <w:rPr>
          <w:b/>
        </w:rPr>
        <w:t>E. 8.4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8.5</w:t>
      </w:r>
    </w:p>
    <w:p>
      <w:r>
        <w:t>Zusammenfassend ergibt sich, dass das BFM den Vollzug der Wegweisung zu Recht als zulässig, zumutbar und möglich erachtet hat. Die Anordnung der vorläufigen Aufnahme fällt somit ausser Betracht (Art. 14a Abs. 1 - 4 ANAG).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VwVG). Da ihm mit Zwischenverfügung vom 29. Juni 2007 die unentgeltliche Rechtspflege gemäss Art. 65 Abs. 1 VwVG gewährt wurde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