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D-4259/2024 vom 26. August 2024</w:t>
      </w:r>
    </w:p>
    <w:p>
      <w:r>
        <w:t>Bundesverwaltungsgericht, 2024-08-26, DE</w:t>
      </w:r>
    </w:p>
    <w:p>
      <w:r>
        <w:rPr>
          <w:b/>
        </w:rPr>
        <w:t xml:space="preserve">Quelle: </w:t>
      </w:r>
      <w:r>
        <w:t>https://mcp.opencaselaw.ch/entscheid/bvger_D-4259_2024</w:t>
      </w:r>
    </w:p>
    <w:p>
      <w:r>
        <w:t>FR: TAF D-4259/2024 du 26 août 2024</w:t>
      </w:r>
    </w:p>
    <w:p>
      <w:r>
        <w:t>IT: TAF D-4259/2024 del 26 agosto 2024</w:t>
      </w:r>
    </w:p>
    <w:p>
      <w:pPr>
        <w:pStyle w:val="Heading2"/>
      </w:pPr>
      <w:r>
        <w:t>Regeste</w:t>
      </w:r>
    </w:p>
    <w:p>
      <w:r>
        <w:t>Asyl und Wegweisung (Mehrfachgesuch)</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 liegend – endgültig (vgl. Art. 83 Bst. d Ziff. 1 BGG; Art. 105 AsylG). Der Be- schwerdeführer ist als Verfügungsadressat zur Beschwerdeführung legiti- miert (Art. 48 VwVG). Auf die frist- und formgerecht eingereichte Be- schwerde ist nach Leisten des Kostenvorschusses einzutreten (Art. 108 Abs. 6 AsylG und Art. 52 Abs. 1 VwVG).</w:t>
      </w:r>
    </w:p>
    <w:p>
      <w:r>
        <w:rPr>
          <w:b/>
        </w:rPr>
        <w:t>E. 1.2</w:t>
      </w:r>
    </w:p>
    <w:p>
      <w:r>
        <w:t>Soweit in der Rechtsmitteleingabe in verfahrensrechtlicher Hinsicht die Erteilung der aufschiebenden Wirkung und der Erlass eines</w:t>
      </w:r>
    </w:p>
    <w:p>
      <w:r>
        <w:t>D-4259/2024 Seite 4 superprovisorischen Vollzugsstopps beantragt werden, kann festgestellt werden, dass der Beschwerde von Gesetzes wegen aufschiebende Wir- kung zukommt (vgl. Art. 6 AsylG i.V.m. Art. 55 Abs. 1 VwVG) und das SEM diese vorliegend nicht entzogen hat. Auf die entsprechenden prozesslei- tenden Anträge ist daher mangels Rechtsschutzinteresses nicht einzutre- 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In der Beschwerde wird lediglich ein kassatorisches, keinerlei reformatori- sche Begehren gestellt. Aufgrund der Dispositionsmaxime beschränkt sich der Beschwerdegegenstand damit auf die Frage, ob die angefochtene Ver- fügung aus formellen Gründen aufzuheben und die Sache an die Vorin- stanz zur Neubeurteilung zurückzuweisen ist.</w:t>
      </w:r>
    </w:p>
    <w:p>
      <w:r>
        <w:rPr>
          <w:b/>
        </w:rPr>
        <w:t>E. 4</w:t>
      </w:r>
    </w:p>
    <w:p>
      <w:r>
        <w:t>Die vorliegende Beschwerde erweist sich – wie nachstehend aufgezeigt – als offensichtlich unbegründet und ist im Verfahren einzelrichterlicher Zu- ständigkeit mit Zustimmung eines zweiten Richters beziehungsweise einer zweiten Richterin (Art. 111 Bst. e AsylG), ohne Weiterungen und mit sum- marischer Begründung zu behandeln (Art. 111a Abs. 1 und 2 AsylG).</w:t>
      </w:r>
    </w:p>
    <w:p>
      <w:r>
        <w:rPr>
          <w:b/>
        </w:rPr>
        <w:t>E. 5.1</w:t>
      </w:r>
    </w:p>
    <w:p>
      <w:r>
        <w:t>Zur Begründung des Beschwerdebegehrens werden verschiedene for- melle Rügen (Verletzung des Anspruchs auf rechtliches Gehör sowie un- richtige und unvollständige Feststellung des rechtserheblichen Sachver- halts) erhoben. Namentlich moniert der Beschwerdeführer, das SEM habe ihn trotz Ersuchen weder zu einer persönlichen Anhörung eingeladen noch zur Ergänzung seiner Vorbringen aufgefordert. Folglich habe der Sachver- halt nicht abschliessend erfasst werden können.</w:t>
      </w:r>
    </w:p>
    <w:p>
      <w:r>
        <w:rPr>
          <w:b/>
        </w:rPr>
        <w:t>E. 5.2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w:t>
      </w:r>
    </w:p>
    <w:p>
      <w:r>
        <w:t>D-4259/2024 Seite 5 Entscheidfindung angemessen zu berücksichtigen. Nicht erforderlich ist, dass sich die Begründung mit allen Parteistandpunkten einlässlich ausei- nandersetzt und jedes einzelne Vorbringen ausdrücklich widerlegt (vgl. BGE 143 III 65 E. 5.2). Die unrichtige oder unvollständige Feststellung des rechtserheblichen Sachverhalts in Verletzung der behördlichen Untersuchungspflicht bildet einen Beschwerdegrund (Art. 106 Abs. 1 Bst. b AsylG). Unrichtig ist die Sachverhaltsfeststellung dann, wenn der Verfügung ein falscher und ak- tenwidriger oder nicht weiter belegbarer Sachverhalt zugrunde gelegt wurde. Unvollständig ist sie, wenn die Behörde trotz Untersuchungsma- xime den Sachverhalt nicht von Amtes wegen abgeklärt oder nicht alle für die Entscheidung wesentlichen Sachumstände berücksichtigt hat (vgl. dazu CHRISTOPH AUER/ANJA MARTINA BINDER, in: Kommentar zum Bundes- gesetz über das Verwaltungsverfahren [VwVG], 2. Aufl. 2019, Art. 12 N 16). Der Untersuchungsgrundsatz findet seine Grenze an der Mitwirkungs- pflicht der Asylsuchenden (Art. 8 AsylG; Art. 13 VwVG).</w:t>
      </w:r>
    </w:p>
    <w:p>
      <w:r>
        <w:rPr>
          <w:b/>
        </w:rPr>
        <w:t>E. 5.3</w:t>
      </w:r>
    </w:p>
    <w:p>
      <w:r>
        <w:t>Wird innerhalb von fünf Jahren nach Eintritt der Rechtskraft eines Asyl- und Wegweisungsentscheids ein weiteres Asylgesuch eingereicht, hat die betreffende Eingabe nach Art. 111c Abs. 1 AsylG schriftlich und begründet zu erfolgen. Eine Anhörung ist in solchen Fällen grundsätzlich nicht vorge- sehen (vgl. BVGE 2014/39 E. 4.3). Dieser Umstand dürfte auch dem Rechtsvertreter des Beschwerdeführers, der sich beruflich mit der Bera- tung und Vertretung von Asylsuchenden befasst, bekannt sein. Soweit im Mehrfachgesuch die Bereitschaft des Beschwerdeführers zu umfassender Kooperation erklärt wurde, ist festzuhalten, dass er aufgrund der ihm ob- liegenden Mitwirkungspflicht gehalten gewesen wäre, seine vorgebrachten Asylgründe schon bei der Einreichung des Mehrfachgesuchs schriftlich substantiiert darzutun und mit entsprechenden Beweismitteln zu belegen. Es wurde nicht dargelegt und ist auch nicht ersichtlich, weshalb ihm dies nicht möglich gewesen sein soll. Eine Verletzung des rechtlichen Gehörs ist nicht ersichtlich.</w:t>
      </w:r>
    </w:p>
    <w:p>
      <w:r>
        <w:rPr>
          <w:b/>
        </w:rPr>
        <w:t>E. 5.4</w:t>
      </w:r>
    </w:p>
    <w:p>
      <w:r>
        <w:t>Im Übrigen vermengt der Beschwerdeführer die sich aus dem Untersu- chungsgrundsatz ergebende Pflicht zur Feststellung des rechtserheblichen Sachverhalts mit der rechtlichen Würdigung der Sache, welche die materi- elle Entscheidung über die vorgebrachten Asylgründe betrifft. Alleine der Umstand, dass der Beschwerdeführer die Auffassung und Schlussfolge- rungen des SEM nicht teilt, stellt mithin keine unrichtige beziehungsweise unvollständige Sachverhaltsfeststellung dar.</w:t>
      </w:r>
    </w:p>
    <w:p>
      <w:r>
        <w:t>D-4259/2024 Seite 6</w:t>
      </w:r>
    </w:p>
    <w:p>
      <w:r>
        <w:rPr>
          <w:b/>
        </w:rPr>
        <w:t>E. 5.5</w:t>
      </w:r>
    </w:p>
    <w:p>
      <w:r>
        <w:t>Die formellen Rügen erweisen sich angesichts dieser Sachlage als un- begründet, weshalb keine Veranlassung besteht, die angefochtene Verfü- gung aus formellen Gründen aufzuheben und die Sache an das SEM zu- rückzuweisen. Die Beschwerde ist abzuweisen.</w:t>
      </w:r>
    </w:p>
    <w:p>
      <w:r>
        <w:rPr>
          <w:b/>
        </w:rPr>
        <w:t>E. 6</w:t>
      </w:r>
    </w:p>
    <w:p>
      <w:r>
        <w:t>Bei diesem Ausgang des Verfahrens sind die Kosten dem Beschwerde- führer aufzuerlegen (Art. 63 Abs. 1 VwVG) und auf insgesamt Fr. 2’000.– festzusetzen (Art. 1–3 des Reglements vom 21. Februar 2008 über die Kosten und Entschädigungen vor dem Bundesverwaltungsgericht [VGKE, SR 173.320.2]). Der in gleicher Höhe geleistete Kostenvorschuss ist zur Bezahlung der Verfahrenskosten zu verwenden. (Dispositiv nächste Seite)</w:t>
      </w:r>
    </w:p>
    <w:p>
      <w:r>
        <w:t>D-4259/2024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