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D-4251/2015 vom 6. Oktober 2015</w:t>
      </w:r>
    </w:p>
    <w:p>
      <w:r>
        <w:t>Bundesverwaltungsgericht, 2015-10-06, DE</w:t>
      </w:r>
    </w:p>
    <w:p>
      <w:r>
        <w:rPr>
          <w:b/>
        </w:rPr>
        <w:t xml:space="preserve">Quelle: </w:t>
      </w:r>
      <w:r>
        <w:t>https://mcp.opencaselaw.ch/entscheid/bvger_D-4251_2015</w:t>
      </w:r>
    </w:p>
    <w:p>
      <w:r>
        <w:t>FR: TAF D-4251/2015 du 6 octobre 2015</w:t>
      </w:r>
    </w:p>
    <w:p>
      <w:r>
        <w:t>IT: TAF D-4251/2015 del 6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[AsylG, SR 142.31]; Art. 83 Bst. d Ziff. 1 BGG).</w:t>
      </w:r>
    </w:p>
    <w:p>
      <w:r>
        <w:rPr>
          <w:b/>
        </w:rPr>
        <w:t>E. 1.2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1.3</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1.4</w:t>
      </w:r>
    </w:p>
    <w:p>
      <w:r>
        <w:t>Der Zeitpunkt der Eröffnung der angefochtenen Verfügung steht mangels Rückschein bei den Akten nicht fest. Aus den Akten ist er­sichtlich, dass die vorinstanzliche Verfügung vom 3. Juni 2015 von der Schweizerischen Vertretung in Colombo am 8. Juni 2015 versandt wurde. Somit steht fest, dass die am 29. Juni 2015 bei der Schweizerischen Vertretung eingetroffene Beschwerde (vgl. Sachver­halt Bst. F) rechtzeitig erfolgt ist.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37 VGG und Art. 48 Abs. 1 und Art. 52 VwVG).</w:t>
      </w:r>
    </w:p>
    <w:p>
      <w:r>
        <w:rPr>
          <w:b/>
        </w:rPr>
        <w:t>E. 2</w:t>
      </w:r>
    </w:p>
    <w:p>
      <w:r>
        <w:t>Mit Beschwerde kann die Verletzung von Bundesrecht sowie die unrichtige oder unvollständige Feststellung des rechtserheblichen Sachverhalts gerügt werden (Art. 106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5.1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5.2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Aus nachfolgenden Gründen ist die Einschätzung des SEM in der angefochtenen Verfügung zu bestätigen, wonach die Vorbringen des Beschwerdeführers, wegen der Unterstützung eines mit dem Beschwerdeführer verwandten Mitgliedes der LTTE, von der CID unter Misshandlung nach dessen Verbleib befragt und mit dem Tod bedroht worden zu sein und deshalb in der Folge bei einem Priester gelebt zu haben, als nicht glaubhaft zu erachten seien. Wie die Vorinstanz in der angefochtenen Verfügung zutreffend festgehalten hat, wurde dieses Vorbringen ohne ersichtlichen Grund erst im Verlaufe des Verfahrens geltend gemacht und fiel deren Darstellung teils widersprüchlich aus. An dieser Einschätzung vermögen weder das im Rahmen des vorinstanzlichen Verfahrens eingereichte Schreiben einer B.________ vom 24. Juni 2013 noch die mit Eingabe vom 12. November 2013 eingereichten Fotografien zum Nachweis erlittener Verletzungen des Beschwerdeführers etwas zu ändern. Zum einen wird im genannten Schreiben nicht bestätigt, dass der Beschwerdeführer wie angegeben dort länger gelebt habe, und zum anderen ist dessen Beweiskraft vor dem Hintergrund der Unglaubhaftigkeit der Vorbringen und der naheliegenden Möglichkeit, dass es sich um ein Gefälligkeitsschreiben handelt, ohnehin gering. Was die eingereichten Fotografien zum Nachweis erlittener Verletzungen des Beschwerdeführers betrifft, so ist darauf hinzuweisen, dass, auch wenn es sich bei den auf den Fotografien festgehaltenen Verletzungen um solche des Beschwerdeführers handeln sollte, damit deren Ursachen nicht feststehen.</w:t>
      </w:r>
    </w:p>
    <w:p>
      <w:r>
        <w:rPr>
          <w:b/>
        </w:rPr>
        <w:t>E. 5.4</w:t>
      </w:r>
    </w:p>
    <w:p>
      <w:r>
        <w:t>Hinsichtlich des weiteren Vorbringen des Beschwerdeführers, vom CID gesucht zu werden, kann zur Vermeidung von Wiederholungen auf die überzeugenden Argumente in der angefochtenen Verfügung des SEM (vgl. S. 5) verwiesen werden. Insbesondere ist hervorzuheben, dass der Beschwerdeführer während mehrerer Jahre im militarisierten Norden Sri Lankas einer Arbeit nachgehen konnte, ohne dass der Sicherheitsdienst offenbar davon erfuhr, was auf ein fehlendes Verfolgungsinteresse des sri-lankischen Staates schliessen lässt. An dieser Einschätzung vermögen die Entgegnungen in der Beschwerde, welche sich in einer Wiederholung der im vorinstanzlichen Verfahren geltend gemachten Vorbringen erschöpfen, nichts zu ändern.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SEM hat dem Beschwerdeführer zu Recht die Einreise in die Schweiz verweigert und dessen Asylgesuch abgelehnt. 7.Aus diesen Erwägungen ergibt sich, dass die angefochtene Verfügung das Bundesrecht nicht verletzt und den rechtserheblichen Sachverhalt richtig sowie vollständig feststellt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