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D-4250/2010 vom 22. März 2012</w:t>
      </w:r>
    </w:p>
    <w:p>
      <w:r>
        <w:t>Bundesverwaltungsgericht, 2012-03-22, DE</w:t>
      </w:r>
    </w:p>
    <w:p>
      <w:r>
        <w:rPr>
          <w:b/>
        </w:rPr>
        <w:t xml:space="preserve">Quelle: </w:t>
      </w:r>
      <w:r>
        <w:t>https://mcp.opencaselaw.ch/entscheid/bvger_D-4250_2010</w:t>
      </w:r>
    </w:p>
    <w:p>
      <w:r>
        <w:t>FR: TAF D-4250/2010 du 22 mars 2012</w:t>
      </w:r>
    </w:p>
    <w:p>
      <w:r>
        <w:t>IT: TAF D-4250/2010 del 22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3.3</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der asylsuchenden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im Sinne einer Gesamtwürdigung ist, ob die für die Richtigkeit des dargelegten Sachverhalts sprechenden Gründe überwiegen oder nicht; dabei ist auf eine objektivierte Sichtweise abzustellen.</w:t>
      </w:r>
    </w:p>
    <w:p>
      <w:r>
        <w:rPr>
          <w:b/>
        </w:rPr>
        <w:t>E. 5.1</w:t>
      </w:r>
    </w:p>
    <w:p>
      <w:r>
        <w:t>Das BFM führt zur Begründung seines Entscheides aus, der Beschwerdeführer habe geltend gemacht, er sei für den Geheimdienst der PUK tätig gewesen. Weil er vertrauliche Informationen nach aussen getragen habe, sei er zur Verhaftung ausgeschrieben worden. Grundsätzlich sei es nicht asylrelevant, wenn sich der Beschwerdeführer wegen schwerwiegender Verstösse gegen die Arbeitsregeln einer strafrechtlichen Untersuchung stellen müsse. Das Bundesamt bezweifle hingegen, dass sich der geschilderte Vorfall so zugetragen habe. Hätte er aufgrund seines Verhaltens solch gravierende Konsequenzen zu befürchten gehabt, wäre er wohl kaum so unbedarft mit der vertraulichen Information der Inhaftierung von X._______ umgegangen. Andererseits sei fraglich, warum sich der Gefängnisdirektor gerade dann die Post habe zustellen lassen, während dieser sich mit einem Gefangenen unterhalten habe, dessen Aufenthalt über Jahre geheim gehalten worden sei. Der Beschwerdeführer habe ferner behauptet, der Gefängnisdirektor habe gegenüber dem Vater und dem Onkel von X._______ zuerst bestritten, dass dieser inhaftiert sei. Erst als die Verwandten den Namen des Informanten preisgegeben hätten, habe der Direktor schliesslich eingelenkt. Wäre X._______ jedoch tatsächlich während fünf Jahren unter Geheimhaltung festgehalten worden, so hätte der Gefängnisdirektor dies wohl weiterhin bestritten und nicht in der geschilderten Weise Blösse gezeigt. Obschon der Beschwerdeführer für den Gefängnisvorsteher Kurierdienste erledigt habe, kenne er dessen vollständigen Namen nicht. Widersprüchliche Angaben habe er zum Zeitpunkt gemacht, als die Verwandten von X._______ im Gefängnis vorgesprochen hätten. So habe er anlässlich der Befragung erklärt, sie hätten zwei bis drei Tage zugewartet. Während der Anhörung habe er hingegen ausgesagt, dass sie bereits am Folgetag der entsprechenden Kenntnisnahme zum Gefängnis gegangen seien. Dieser Unterschied sei nicht unwesentlich, da der Beschwerdeführer daraufhin seinen Heimatort sofort verlassen habe. Darauf angesprochen, habe er jedoch den Widerspruch nicht zu klären vermocht. Ausserdem sei der in Aussicht gestellte Haftbefehl dem BFM nie zugestellt worden. Zusammenfassend gehe die Vorinstanz nicht davon aus, dass der Beschwerdeführer aus den genannten Gründen verfolgt sei.</w:t>
      </w:r>
    </w:p>
    <w:p>
      <w:r>
        <w:rPr>
          <w:b/>
        </w:rPr>
        <w:t>E. 5.2</w:t>
      </w:r>
    </w:p>
    <w:p>
      <w:r>
        <w:t>In der Beschwerde vom 10. Juni 2010 wird geltend gemacht, das BFM argumentiere, dass eine strafrechtliche Untersuchung wegen Verstosses gegen die Arbeitsregeln keine asylrelevante Massnahme sei. Bei Art. 3 AsylG gehe es unter anderem darum, ob der Verfolger zu Recht oder zu Unrecht den Asylsuchenden gezielt verfolge und ob die drohende Strafe sowie die getroffenen Massnahmen unverhältnismässig seien oder einen klaren Verstoss gegen die Menschenrechte darstellten. Es stehe fest, dass der Beschwerdeführer in diesem Gefängnis nahe F._______ gearbeitet habe und Zeuge von vielen Menschenrechtsverletzungen gewesen sei. Er habe Informationen über einen politischen Gefangenen, welcher seit Jahren ohne Anklageschrift und Kontakt nach aussen im Gefängnis festgehalten werde, weitergegeben. Diese Handlung weise einen politischen Charakter auf und sei gegen die politische Organisation des Staates Irak gerichtet. Dieser Tatbestand werde als Hochverrat, Landesverrat oder als Weitergeben verbotener Nachrichten bewertet und bestraft. Die ihm drohende Strafe verletze somit nicht nur Menschenrechte, sondern sei gewiss auch unverhältnismässig und damit asylrelevant. Der Beschwerdeführer habe sowohl den Gefangenen X._______ als auch seine Familie gekannt und mit dessen Onkel Kontakt gepflegt. Letztgenannter habe den Beschwerdeführer früher mehrmals gefragt, ob er Informationen über den Verbleib und das Befinden seines Neffen bekommen könne. Diese Fragen habe er damals (noch) nicht beantworten können. Er habe während Jahren gesehen, wie manche Gefangene während Besuchen von internationalen Organisationen versteckt worden seien. Zudem habe er zusehen müssen, wie die Inhaftierten ohne Kontakt zur Aussenwelt gehalten, gefoltert und hingerichtet worden seien. Als er den Häftling X._______ gesehen habe, sei ihm das unter die Haut gegangen, und er habe nicht schweigen können. Er habe der Familie von X._______ eine Freude machen und berichten wollen, dass dieser am Leben sei und in diesem Gefängnis festgehalten werde. Das sei ihm aber zum Verhängnis geworden, da er als Informant aufgeflogen sei. Warum der Gefängnisdirektor nicht weiterhin bestritten habe, dass X._______ dort festgehalten werde und weshalb sich Erstgenannter die Post gerade dann habe zustellen lassen, als er sich mit dem Häftling unterhalten habe, könne der Beschwerdeführer nicht beantworten. Diese Fragen müssten dem Gefängnisvorsteher persönlich gestellt werden. Ein Argument für dessen Verhalten könne sein, dass er die Gefangenschaft von X._______ erst dann zugegeben habe, als die Informationsquelle geklärt worden sei. Im Weiteren habe der Beschwerdeführer schon gesagt, dass der Gefängnisvorsteher immer in Zivilkleidung erschienen sei und stets denjenigen Namen erwähnt habe, wie dieser im Gefängnis genannt worden sei. Wahrscheinlich habe der Direktor aus Sicherheitsgründen kein Namensschild auf seinem Kleid getragen. Wie der Beschwerdeführer erklärt habe, seien die von ihm geschilderten Ereignisse innerhalb von drei Tagen passiert. Den Gefangenen X._______ habe er am 7. Oktober 2008 gesehen und dies am nächsten Tag (am 8. Oktober 2008) dessen Onkel erzählt. Am folgenden Tag und somit am 8. Oktober 2008 (recte: 9. Oktober 2008) seien der Vater und der Onkel von X._______ ins Gefängnis gegangen, hätten den Gefängnisdirektor zur Rede gestellt und den Beschwerdeführer an demselben Abend (am 9. Oktober 2008) darüber informiert. Da er sich tags darauf weder am Arbeitsplatz gemeldet habe noch zu Hause auffindbar gewesen sei, habe man am 10. Oktober 2008 einen Haftbefehl gegen ihn ausgestellt. Es bestünden somit keine Unstimmigkeiten in seinen Angaben und diese seien detailliert, präzise und übereinstimmend. Der Beschwerdeführer werde gezielt wegen seiner politischen Anschauungen und seinen Handlungen gegen Menschenrechtsverletzungen staatlicher Verfolgung ausgesetzt. Deshalb erscheine die Furcht vor zukünftiger Verfolgung als objektiv und müsse als sehr wahrscheinlich betrachtet werden. Er besitze aus oben erwähnten Gründen ein Gefährdungsprofil, und ihm drohe unmittelbar Lebensgefahr. Er habe begründete Angst vor einer staatlichen Verfolgung und einer unverhältnismässigen sowie menschenrechtsverletzenden Strafe. Deshalb beantrage er politisches Asyl gemäss Art. 3 AsylG.</w:t>
      </w:r>
    </w:p>
    <w:p>
      <w:r>
        <w:rPr>
          <w:b/>
        </w:rPr>
        <w:t>E. 6.1</w:t>
      </w:r>
    </w:p>
    <w:p>
      <w:r>
        <w:t>Nach Prüfung der Akten gelangt das Bundesverwaltungsgericht zum Schluss, dass die Feststellung und Würdigung des Sachverhalts durch die Vorinstanz im Ergebnis zu bestätigen ist. Zwar kann nicht ausgeschlossen werden, dass es bei der Befragung zu Missverständnissen gekommen ist (wie auf S. 4 der Beschwerdeschrift angedeutet wird). In der Tat erscheint die Art der Fragestellung teilweise etwas merkwürdig und wenig sachgerecht (z.B. A15, S. 11 f., S. 15), was den Beschwerdeführer möglicherweise verwirrt hat. Doch selbst wenn sich einzelne Ungereimtheiten dadurch erklären liessen, so weisen doch die Vorbringen des Beschwerdeführers bei gesamthafter Betrachtung einen erheblichen Mangel an Plausibilität, an Substanziierung und an Realkennzeichen auf. Die Vorinstanz hat in der angefochtenen Verfügung vom 6. Mai 2010 und in ihren Vernehmlassungen vom 14. Juli 2010 und 2. September 2011 ausführlich und überzeugend die wesentlichen Unglaubhaftigkeitselemente in den Aussagen des Beschwerdeführers dargelegt und vor diesem Hintergrund festgestellt, dessen Vorbringen genügten den Anforderungen gemäss Art. 7 AsylG nicht. Für das Bundesverwaltungsgericht besteht daher keine Veranlassung, die Erwägungen des BFM zu beanstanden. Um Wiederholungen zu vermeiden, kann daher auf die diesbezüglich zutreffenden vorinstanzlichen Ausführungen verwiesen werden.</w:t>
      </w:r>
    </w:p>
    <w:p>
      <w:r>
        <w:rPr>
          <w:b/>
        </w:rPr>
        <w:t>E. 6.2</w:t>
      </w:r>
    </w:p>
    <w:p>
      <w:r>
        <w:t>Bei den vom Beschwerdeführer im Zusammenhang mit seinem Asylgesuch gemachten Vorbringen handelt es sich offensichtlich um ein Sachverhaltskonstrukt. So ist es nicht nachvollziehbar und widerspricht der allgemeinen Lebenserfahrung, dass ein Gefängnisdirektor sich einen Brief zustellen lässt, während dem er einen scheinbar seit Jahren unter Geheimhaltung Inhaftierten gerade verhört. Da davon ausgegangen werden kann, dass solche Anhörungen unter Anwendung von entsprechenden Sicherheitsvorkehrungen von statten gehen, hätte der Gefängnisdirektor sich den Brief entweder nach dem Verhör oder seinem Sekretariat zustellen lassen oder aber der Gefängnisinsasse wäre zumindest vorübergehend in einen anderen, nicht einsehbaren Raum beziehungsweise zurück in seine Zelle gebracht worden. Überdies ist nicht einzusehen, warum der Gefängnisdirektor gegenüber dem Vater und dem Onkel von X._______ streng vertrauliche Angaben gemacht haben sollte, zumal die Vorsprechenden über keinerlei Druckmittel verfügten und es einer geheimdienstlichen Tätigkeit diametral widerspricht, solch sensible Daten an Aussenstehende zu kommunizieren. Weiter bestehen Ungereimtheiten im Zusammenhang mit der Funktion des Beschwerdeführers (...) bei der PUK. (...). Seine nachfolgenden diesbezüglichen Erklärungsversuche überzeugen nicht. Zudem erstaunt es, dass er (...) seine Dienstnummer nicht nennen konnte (vgl. A15, S. 12 f.). Auch betreffend seinen Aufgabenbereich innerhalb des Geheimdienstes machte der Beschwerdeführer unterschiedliche Angaben. (...). Auf Vorhalt hin gelang dem Beschwerdeführer keine plausible Begründung für die unterschiedlichen Angaben (vgl. A15, S. 13). Schliesslich sind auch die Form und der Inhalt der in Bezug auf den Haftbefehl eingereichten Beweismittel nicht tauglich, einen asylrelevanten Sachverhalt glaubhaft zu machen. Es kann hierzu auf die ergänzende Vernehmlassung des BFM vom 21. September 2011 verwiesen werden. Bezeichnenderweise hat es der Beschwerdeführer dann auch unterlassen, auf die diesbezügliche Stellungnahme der Vorinstanz zu replizieren. Insgesamt sind die Asylvorbringen des Beschwerdeführers somit unglaubhaft.</w:t>
      </w:r>
    </w:p>
    <w:p>
      <w:r>
        <w:rPr>
          <w:b/>
        </w:rPr>
        <w:t>E. 6.3</w:t>
      </w:r>
    </w:p>
    <w:p>
      <w:r>
        <w:t>Aufgrund der vorstehenden Erwägungen erübrigt es sich, auf die weiteren Ausführungen bezüglich Asyl- und Flüchtlingspunkt in der Rechtsmitteleingabe vom 10. Juni 2010 und der ergänzenden Stellungnahme vom 14. Februar 2012 des Beschwerdeführers näher einzugehen, da diese am Ergebnis der vorgenommenen Würdigung nichts zu ändern vermögen. Zusammenfassend ist festzuhalten, dass es dem Beschwerdeführer angesichts der fehlenden Glaubhaftigkeit und der Ungereimtheiten in zentralen Asylvorbringen nicht gelungen ist, eine im Zeitpunkt seiner Ausreise aus dem Irak bestehende oder drohende asylrechtlich relevante Gefährdung nachzuweisen oder glaubhaft zu machen. Das BFM hat demnach zu Recht die Flüchtlingseigenschaft des Beschwerdeführers verneint und dessen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hat sich im Grundsatzurteil BVGE 2008/5 vom 14. März 2008 ausführlich mit der Frage der Zumutbarkeit des Wegweisungsvollzugs in den kurdisch verwalteten Nordirak befasst. Es gelangte zum Schluss, dass in den drei kurdischen Nordprovinzen Dohuk, Erbil und Suleimaniya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Demgegenüber ist für alleinstehende Frauen und für Familien mit Kindern, sowie für Kranke und Betagte bei der Feststellung der Zumutbarkeit des Wegweisungsvollzugs grosse Zurückhaltung angebracht (vgl. a.a.O. E. 7.5 und insbesondere E. 7.5.8).</w:t>
      </w:r>
    </w:p>
    <w:p>
      <w:r>
        <w:rPr>
          <w:b/>
        </w:rPr>
        <w:t>E. 8.4.2</w:t>
      </w:r>
    </w:p>
    <w:p>
      <w:r>
        <w:t>Der Beschwerdeführer, von dem keine gesundheitlichen Probleme aktenkundig - jedenfalls sind die in seiner ergänzenden Stellungnahme vom 14. Februar 2012 vorgebrachten psychischen Probleme nicht mittels eines Arztzeugnisses belegt - sind, lebte seit seiner Geburt in B._______ (Provinz Suleimaniya) (vgl. A1, S. 1 ff.). Er verfügt in seiner Heimat über ein tragfähiges, soziales und familiäres Beziehungsnetz (vgl. A1, S. 3 f.). Bei der Wiedereingliederung werden ihm seine in der Heimat verbliebenen Familienangehörigen behilflich sein können.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von Fr. 600.- an sich dem Beschwerdeführer aufzuerlegen (Art. 63 Abs. 1 und 5 VwVG). Da die Beschwerde im Zeitpunkt ihrer Einreichung nicht als aussichtslos zu bezeichnen war, ist indessen das Gesuch des Beschwerdeführers um Gewährung der unentgeltlichen Rechtspflege gemäss Art. 65 Abs. 1 VwVG gutzuheissen, zumal die prozessualen Bedürftigkeit des Beschwerdeführers mit der von ihm eingereichten Fürsorgebestätigung vom 19. Mai 2010 belegt ist und sich aus den Akten keine Hinweise auf eine in der Zwischenzeit eingetretene massgebliche Verbesserung seiner finanziellen Lage ergeben; bei dieser Sachlage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