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D-424/2026 vom 12. März 2026</w:t>
      </w:r>
    </w:p>
    <w:p>
      <w:r>
        <w:t>Bundesverwaltungsgericht, 2026-03-12, DE</w:t>
      </w:r>
    </w:p>
    <w:p>
      <w:r>
        <w:rPr>
          <w:b/>
        </w:rPr>
        <w:t xml:space="preserve">Quelle: </w:t>
      </w:r>
      <w:r>
        <w:t>https://mcp.opencaselaw.ch/entscheid/bvger_D-424_2026</w:t>
      </w:r>
    </w:p>
    <w:p>
      <w:r>
        <w:t>FR: TAF D-424/2026 du 12 mars 2026</w:t>
      </w:r>
    </w:p>
    <w:p>
      <w:r>
        <w:t>IT: TAF D-424/2026 del 12 marzo 2026</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so auch hier - endgültig über Beschwerden gegen Verfügungen (Art. 5 VwVG) des SEM (Art. 72 i.V.m. Art. 105 AsylG [SR 142.31]; Art. 31-33 VGG; Art. 83 Bst. d Ziff. 1 BGG).</w:t>
      </w:r>
    </w:p>
    <w:p>
      <w:r>
        <w:rPr>
          <w:b/>
        </w:rPr>
        <w:t>E. 1.2</w:t>
      </w:r>
    </w:p>
    <w:p>
      <w:r>
        <w:t>Die Beschwerdeführerin ist als Verfügungsadressatin zur Beschwerdeführung legitimiert (Art. 48 Abs. 1 VwVG). Die Beschwerde ist frist- und formgerecht eingereicht worden (Art. 72 i.V.m. Art. 108 Abs. 6 AsylG; Art. 52 Abs. 1 VwVG). Auf die Beschwerde ist einzutreten.</w:t>
      </w:r>
    </w:p>
    <w:p>
      <w:r>
        <w:rPr>
          <w:b/>
        </w:rPr>
        <w:t>E. 2</w:t>
      </w:r>
    </w:p>
    <w:p>
      <w:r>
        <w:t>Die Beschwerde richtet sich angesichts der Beschwerdebegründung nicht gegen die Kantonszuteilung (Dispositivziffer 4 der angefochtenen Verfügung). Gegenstand des vorliegenden Beschwerdeverfahrens bildet dem-nach die Frage, ob das SEM zu Recht das Gesuch um vorübergehenden Schutz abgelehnt, die Wegweisung verfügt und den Vollzug angeordnet hat.</w:t>
      </w:r>
    </w:p>
    <w:p>
      <w:r>
        <w:rPr>
          <w:b/>
        </w:rPr>
        <w:t>E. 3</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4.1</w:t>
      </w:r>
    </w:p>
    <w:p>
      <w:r>
        <w:t>Über offensichtlich unbegründete Beschwerden wird in einzelrichterlicher Zuständigkeit mit Zustimmung eines zweiten Richters beziehungsweise einer zweiten Richterin entschieden (Art. 72 i.V.m. Art. 111 Bst. e AsylG). Wie nachstehend aufgezeigt, handelt es sich vorliegend um ein Rechtsmittel, welches durch einen Koordinationsentscheid des Bundesverwaltungsgerichts (Urteil D-4601/2025 vom 9. Februar 2026, zur Publikation als Grundsatzurteil vorgesehen) offensichtlich unbegründet geworden ist. Das Urteil ist daher nur summarisch zu begründen (Art. 72 i.V.m. Art. 111a Abs. 2 AsylG).</w:t>
      </w:r>
    </w:p>
    <w:p>
      <w:r>
        <w:rPr>
          <w:b/>
        </w:rPr>
        <w:t>E. 4.2</w:t>
      </w:r>
    </w:p>
    <w:p>
      <w:r>
        <w:t>Gestützt auf Art. 111a Abs. 1 AsylG (i.V.m. Art. 72 AsylG) wurde auf die Durchführung eines Schriftenwechsels verzichtet.</w:t>
      </w:r>
    </w:p>
    <w:p>
      <w:r>
        <w:rPr>
          <w:b/>
        </w:rPr>
        <w:t>E. 5</w:t>
      </w:r>
    </w:p>
    <w:p>
      <w:r>
        <w:t>Vorab ist festzustellen, dass der blosse Umstand, dass die Beschwerdeführerin die Schlussfolgerungen der Vorinstanz nicht teilt, weder eine unvollständige noch eine unrichtige Sachverhaltsfeststellung zu begründen vermag, sondern die Frage der materiellen Würdigung der Sache beschlägt. Vielmehr hat das SEM den Sachverhalt - insbesondere auch den Gesundheitszustand der Beschwerdeführerin - rechtsgenüglich abgeklärt und sich in der angefochtenen Verfügung nachvollziehbar sowie hinreichend differenziert mit ihren zentralen Vorbringen auseinandergesetzt. Die Rüge erweist sich demnach als unbegründet und es besteht keine Veranlassung, die Verfügung aus formellen Gründen aufzuheben und die Sache an die Vorinstanz zurückzuweisen.</w:t>
      </w:r>
    </w:p>
    <w:p>
      <w:r>
        <w:rPr>
          <w:b/>
        </w:rPr>
        <w:t>E. 6.1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6.2</w:t>
      </w:r>
    </w:p>
    <w:p>
      <w:r>
        <w:t>Am 8. Oktober 2025 hat der Bundesrat gestützt auf Art. 66 Abs. 1 AsylG eine Allgemeinverfügung zur Gewährung des vorübergehenden Schutzes im Zusammenhang mit der Situation in der Ukraine erlassen (BBl 2025 3074; in Kraft seit 1. November 2025). In Ziff. I dieses Erlasses werden drei schutzberechtigte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Schutzstatus in der Ukraine hatten; c.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6.3</w:t>
      </w:r>
    </w:p>
    <w:p>
      <w:r>
        <w:t>Das Bundesverwaltungsgericht hat bereits in seinem Grundsatzurteil BVGE 2022 VI/1 im Sinne einer Einschränkung festgestellt, dass eine Person ukrainischer Staatsbürgerschaft, welche vor dem 24. Februar 2022 in der Ukraine wohnhaft war, grundsätzlich nicht auf den Schutz der Schweiz angewiesen ist, wenn für sie eine valable Schutzalternative ausserhalb der Ukraine bejaht werden kann. Die Voraussetzungen für die Annahme einer valablen Schutzalternative in einem Drittstaat beziehungsweise wie hier in einem EU-EFTA-Mitgliedsstaat wurden sodann im Koordinationsentscheid D-4601/2025 vom 9. Februar 2026 wie folgt präzisiert: Die gesuchstellende Person muss zwischen dem 24. Februar 2022 und der Einreise in die Schweiz im Drittstaat einen dem schweizerischen Schutzstatus «S» gleichzusetzenden Aufenthaltstitel (zwecks Gewährung von vorübergehendem Schutz) erhalten haben. Zudem muss hinreichende Gewissheit bestehen, dass ihr bei einer Rückkehr dorthin erneut wirksamen Schutz gewährt wird, und es muss überdies davon ausgegangen werden können, dass sie ohne weiteres in den fraglichen Drittstaat wieder einreisen kann. Sind diese Voraussetzungen erfüllt, ist - selbst wenn keine Rückübernahmezusicherung des in Frage stehenden Drittstaates vorliegt - das Vorliegen einer valablen Schutzalternative zu bejahen (vgl. a.a.O. E. 6.2.1 sowie 6.3).</w:t>
      </w:r>
    </w:p>
    <w:p>
      <w:r>
        <w:rPr>
          <w:b/>
        </w:rPr>
        <w:t>E. 7.1</w:t>
      </w:r>
    </w:p>
    <w:p>
      <w:r>
        <w:t>Die Beschwerdeführerin ist ukrainische Staatsangehörige und hat vor dem 24. Februar 2022 in der Ukraine gewohnt. Sie fällt somit grundsätzlich unter Bst. a der Allgemeinverfügung. Den Akten respektive ihren eigenen Angaben zufolge hielt sie sich vom März 2022 bis November 2025 in Polen auf und verfügte dort über einen polnischen Schutzstatus für Geflüchtete aus der Ukraine sowie eine PESEL-Identifikationsnummer (vgl. A3/7 F30 und A4/34, S. 28). Dieser EU-Schutztitel wurde der Beschwerdeführerin offensichtlich in Anwendung der (damals) einschlägigen EU-Normen (vgl.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Durchführungsbeschluss [EU] 2022/382 des Rates vom 4. März 2022 zur Feststellung des Bestehens eines Massenzustroms von Vertriebenen aus der Ukraine im Sinne des Artikels 5 der Richtlinie 2001/55/EG und zur Einführung eines vorübergehenden Schutzes) erteilt und kann als dem schweizerischen Schutzstatus «S» gleichwertig erachtet werden (vgl. dazu Koordinationsentscheid D-4601/2025 E. 6.2.2; Urteil des BVGer D-2096/2025 vom 23. Februar 2026 E.5.1). Damit besteht ein hinreichender Anknüpfungspunkt in Polen.</w:t>
      </w:r>
    </w:p>
    <w:p>
      <w:r>
        <w:rPr>
          <w:b/>
        </w:rPr>
        <w:t>E. 7.2</w:t>
      </w:r>
    </w:p>
    <w:p>
      <w:r>
        <w:t>Ob die Beschwerdeführerin aktuell immer noch über einen gültigen polnischen Schutztitel respektive eine darauf basierende Aufenthaltsbewilligung verfügt, ergibt sich aus den Akten nicht, kann aber offenbleiben. Polen ist aufgrund der einschlägigen EU-Bestimmungen nach wie vor verpflichtet, schutzbedürftigen ukrainischen Gesuchstellenden vorübergehenden Schutz zu gewähren, zumal der Rat der Europäischen Union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Es kann daher davon ausgegangen werden, dass die Beschwerdeführerin bei einer Rückkehr nach Polen ihren Schutzstatus (im Bedarfsfall) reaktivieren oder zumindest erneut erfolgreich um Schutz ersuchen kann. Im Übrigen ist darauf hinzuweisen, dass die einschlägigen EU-Regelungen auf dem Grundgedanken beruhen, dass derjenige Staat, welcher zuerst vorübergehenden Schutz gewährt beziehungsweise einen entsprechenden Aufenthaltstitel ausgestellt hat, grundsätzlich auch weiterhin für die Schutzgewährung zuständig sein soll (vgl. Art. 16 des Durchführungsbeschlusses [EU] 2022/382; s. dazu auch Koordinationsentscheid D-4601/2025 E. 6.2.3). Insgesamt kann demnach mit hinreichender Gewissheit festgestellt werden, dass Polen der Beschwerdeführerin im Falle ihrer Rückkehr dorthin erneut vorübergehenden Schutz gewähren und ihr einen entsprechenden Aufenthaltstitel ausstellen wird.</w:t>
      </w:r>
    </w:p>
    <w:p>
      <w:r>
        <w:rPr>
          <w:b/>
        </w:rPr>
        <w:t>E. 7.3</w:t>
      </w:r>
    </w:p>
    <w:p>
      <w:r>
        <w:t>Als Inhaberin eines gültigen ukrainischen Reisepasses (vgl. A4/34, S. 24) kann die Beschwerdeführerin visumsfrei in den Schengenraum ein- und zwischen den Schengen-Staaten umherreisen (vgl. Urteil des BVGer D-2096/2025 vom 23. Februar 2026 E. 5.3). Somit kann sie ohne weiteres selbständig von der Schweiz nach Polen zurückkehren beziehungsweise legal in Polen einreisen.</w:t>
      </w:r>
    </w:p>
    <w:p>
      <w:r>
        <w:rPr>
          <w:b/>
        </w:rPr>
        <w:t>E. 7.4</w:t>
      </w:r>
    </w:p>
    <w:p>
      <w:r>
        <w:t>Das SEM hat demnach zutreffend festgestellt, dass die Beschwerdeführerin in Polen über eine valable Schutzalternative verfügt und damit nicht auf den Schutz der Schweiz angewiesen ist.</w:t>
      </w:r>
    </w:p>
    <w:p>
      <w:r>
        <w:rPr>
          <w:b/>
        </w:rPr>
        <w:t>E. 7.5</w:t>
      </w:r>
    </w:p>
    <w:p>
      <w:r>
        <w:t>Nach dem Gesagten hat das SEM das Gesuch der Beschwerdeführerin um vorübergehende Schutzgewährung zu Recht abgewiesen.</w:t>
      </w:r>
    </w:p>
    <w:p>
      <w:r>
        <w:rPr>
          <w:b/>
        </w:rPr>
        <w:t>E. 8.1</w:t>
      </w:r>
    </w:p>
    <w:p>
      <w:r>
        <w:t>Lehnt das SEM ein Gesuch um vorübergehende Schutzgewährung ab, verfügt es in der Regel die Wegweisung aus der Schweiz und ordnet den Vollzug an (vgl. Art. 69 Abs. 4 AsylG).</w:t>
      </w:r>
    </w:p>
    <w:p>
      <w:r>
        <w:rPr>
          <w:b/>
        </w:rPr>
        <w:t>E. 8.2</w:t>
      </w:r>
    </w:p>
    <w:p>
      <w:r>
        <w:t>Die Beschwerdeführerin verfügt in der Schweiz insbesondere weder über eine ausländerrechtliche Aufenthaltsbewilligung noch über einen Anspruch auf Erteilung einer solchen. Das SEM hat demnach zu Recht die Wegweisung aus der Schweiz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[SR 142.20]). Vorliegend ist der Wegweisungsvollzug nach Polen zu prüfen. Wegweisungsvollzugshindernisse sind zu beweisen, wenn der strikte Beweis möglich ist, und andernfalls wenigstens glaubhaft zu machen (vgl. BVGE 2011/24 E. 10.2 m.w.H.).</w:t>
      </w:r>
    </w:p>
    <w:p>
      <w:r>
        <w:rPr>
          <w:b/>
        </w:rPr>
        <w:t>E. 9.2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Die Beschwerdeführerin hat in der Schweiz kein Asylgesuch gestellt, und den Akten sind keine Hinweise auf eine Verletzung des flüchtlingsrechtlichen Refoulement-Verbots (Art. 5 AsylG) zu entnehmen. Sodann ergeben sich weder aus den Aussagen der Beschwerdeführerin noch aus den Akten Anhaltspunkte dafür, dass sie für den Fall einer Ausschaffung nach Polen dort mit beachtlicher Wahrscheinlichkeit (d.h. im Sinne eines «real risk»; vgl. dazu EGMR [Grosse Kammer], Saadi gegen Italien, Urteil vom 28. Februar 2008, Beschwerde Nr. 37201/06, §§ 124 - 127, m.w.H.) einer nach Art. 3 EMRK oder Art. 1 FoK verbotenen Strafe oder Behandlung ausgesetzt wäre. Polen ist Signatarstaat der EMRK, der FoK und der FK sowie des Zusatzprotokolls der FK vom 31. Januar 1967 (SR 0.142.301) und kommt seinen diesbezüglichen völkerrechtlichen Verpflichtungen grundsätzlich nach. Die Beschwerdeführerin hat denn auch nichts Gegenteiliges dargetan. Der - bei ausbleibender freiwilliger Ausreise allenfalls zukünftig erforderliche - Vollzug der Wegweisung nach Polen ist daher als zulässig zu erachten.</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Hinsichtlich der Frage der Zumutbarkeit des Wegweisungsvollzugs ist vorab auf Art. 83 Abs. 5 AIG i.V.m. dem Anhang 2 der Verordnung über den Vollzug der Weg- und Ausweisung sowie der Landesverweisung von ausländischen Personen (VVWAL, SR 142.281) zu verweisen, wonach die Wegweisung in einen EU- oder EFTA-Staat vermutungsweise zumutbar ist. Die Beschwerdeführerin bringt nichts vor, was diese Vermutung widerlegen könnte. Gemäss Art. 13 der Richtlinie 2001/55/EG haben Personen, welche gestützt auf diese Richtlinie vorübergehenden Schutz erhalten, namentlich Anspruch auf medizinische Versorgung sowie angemessenen Wohnraum und Sozialleistungen. Polen verfügt sodann über ein Gesundheitssystem, das europäischem Standard entspricht, weshalb die gesundheitlichen Leiden der Beschwerdeführerin in Polen ohne Weiteres behandelt werden können, zumal sie dort offensichtlich bereits über Jahre hinweg Zugang zu notwendiger medizinischer Behandlung (unter anderem einer Nierentransplantation) hatte (vgl. A3/7 F16 und F41 ff.). Ihre Behauptung, ihr sei in Polen die medizinische Hilfe zuletzt verweigert worden und im Falle ihrer Rückkehr stehe ihr diese ebenfalls nicht zur Verfügung, ist gänzlich unbelegt, wie die Beschwerdeführerin denn während ihrer Anhörung selbst eingestand (vgl. a.a.O. F45). Es ist daher nicht davon auszugehen, dass sie, wie von ihr befürchtet, bei einer Rückkehr nach Polen dort in eine medizinische und existenzielle Notlage geraten wird. Daran vermögen auch die auf Beschwerdeebene zu den Akten gereichten medizinischen Berichte nichts zu ändern, zumal diese lediglich die Erkrankung der Beschwerdeführerin bestätigen, ihr (mehrheitlich) einen guten Allgemeinzustand attestieren und festhalten, dass ihre Weiterbehandlung gewährleistet werden müsse (vgl. Beschwerdebeilage 2 und 8; Beilage der Eingabe vom 23. Februar 2026). Auch aus dem Umstand, dass sie in Polen angeblich über keine Bezugspersonen verfügt und ihre Brüder in der Schweiz leben, kann sie nichts zu ihren Gunsten ableiten, zumal unbestritten ist, dass kein besonderes Abhängigkeitsverhältnis zu ihren Geschwistern besteht. Der Vollzug der Wegweisung nach Polen ist somit als zumutbar zu erachten.</w:t>
      </w:r>
    </w:p>
    <w:p>
      <w:r>
        <w:rPr>
          <w:b/>
        </w:rPr>
        <w:t>E. 9.4</w:t>
      </w:r>
    </w:p>
    <w:p>
      <w:r>
        <w:t>Der Vollzug der Wegweisung ist nicht möglich, wenn die Ausländerin oder der Ausländer weder in den Heimat- oder in den Herkunftsstaat noch in einem Drittstaat ausreisen oder dorthin gebracht werden kann (Art. 83 Abs. 2 AIG). Diesbezüglich ist darauf hinzuweisen, dass die Möglichkeit einer freiwilligen Rückkehr in den Heimat- oder Herkunftsstaat beziehungsweise in einen Drittstaat der Feststellung, der Vollzug der Wegweisung erweise sich als unmöglich, von vornherein entgegensteht (vgl. Urteil des BVGer D-2096/2025 vom 23. Februar 2026 E. 7.3, m.w.H.) Wie bereits vorstehend festgehalten (vgl. E. 7.3), kann die Beschwerdeführerin als Inhaberin eines gültigen ukrainischen Reisepasses ohne weiteres in Polen einreisen. Für eine Feststellung der Unmöglichkeit des Vollzugs der Wegweisung besteht damit kein Raum.</w:t>
      </w:r>
    </w:p>
    <w:p>
      <w:r>
        <w:rPr>
          <w:b/>
        </w:rPr>
        <w:t>E. 9.5</w:t>
      </w:r>
    </w:p>
    <w:p>
      <w:r>
        <w:t>Zusammenfassend ist festzustellen, dass die Anordnung der vorläufigen Aufnahme infolge Unzulässigkeit, Unzumutbarkeit oder Unmöglichkeit des Vollzugs (Art. 83 Abs. 1-4 AIG) vorliegend ausser Betracht fällt.</w:t>
      </w:r>
    </w:p>
    <w:p>
      <w:r>
        <w:rPr>
          <w:b/>
        </w:rPr>
        <w:t>E. 10</w:t>
      </w:r>
    </w:p>
    <w:p>
      <w:r>
        <w:t>Aus diesen Erwägungen ergibt sich, dass die angefochtene Verfügung Bundesrecht nicht verletzt und auch sonst nicht zu beanstanden ist (Art. 106 Abs. 1 AsylG). Die Beschwerde ist abzuweisen.</w:t>
      </w:r>
    </w:p>
    <w:p>
      <w:r>
        <w:rPr>
          <w:b/>
        </w:rPr>
        <w:t>E. 11.1</w:t>
      </w:r>
    </w:p>
    <w:p>
      <w:r>
        <w:t>Bei diesem Ausgang des Verfahrens wären dessen Kosten grundsätzlich der Beschwerdeführerin aufzuerlegen (Art. 63 Abs. 1 VwVG). Die Beschwerde war jedoch im Zeitpunkt der Einreichung nicht als aussichtslos zu bezeichnen, da gewisse sich hier stellende Rechtsfragen erst mit dem Koordinationsurteil des Bundesverwaltungsgerichts vom D-4601/2025 vom 9. Februar 2026 geklärt worden sind. Da ferner die Bedürftigkeit der Beschwerdeführerin belegt ist (vgl. Beschwerdebeilage 10), ist das Gesuch um Gewährung der unentgeltlichen Prozessführung gutzuheissen.</w:t>
      </w:r>
    </w:p>
    <w:p>
      <w:r>
        <w:rPr>
          <w:b/>
        </w:rPr>
        <w:t>E. 11.2</w:t>
      </w:r>
    </w:p>
    <w:p>
      <w:r>
        <w:t>Die Beschwerdeführerin hat die rechtsgenügliche Beschwerdeschrift selbst verfasst, angesichts deren Form und Inhalts mutmasslich mit juristischem Beistand. Die Beiordnung eines amtlichen Rechtsbeistands, auf welche die Beschwerdeführerin grundsätzlich Anspruch hätte (Art. 102m Abs. 1 Bst. d AsylG), erübrigt sich, da sich keine weiteren Prozesshandlungen seitens der Beschwerdeführerin aufdrängen. Der entsprechende Antrag ist daher als gegenstandslos zu erachten.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