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D-424/2015 vom 20. Dezember 2016</w:t>
      </w:r>
    </w:p>
    <w:p>
      <w:r>
        <w:t>Bundesverwaltungsgericht, 2016-12-20, IT</w:t>
      </w:r>
    </w:p>
    <w:p>
      <w:r>
        <w:rPr>
          <w:b/>
        </w:rPr>
        <w:t xml:space="preserve">Quelle: </w:t>
      </w:r>
      <w:r>
        <w:t>https://mcp.opencaselaw.ch/entscheid/bvger_D-424_2015</w:t>
      </w:r>
    </w:p>
    <w:p>
      <w:r>
        <w:t>FR: TAF D-424/2015 du 20 décembre 2016</w:t>
      </w:r>
    </w:p>
    <w:p>
      <w:r>
        <w:t>IT: TAF D-424/2015 del 20 dicembre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19 dicembre 2014, oggetto del litigio in questa sede risulta pertanto essere esclusivamente la decisione riguardante il rifiuto della loro domanda d'asilo nonché la pronuncia dell'allontanamento.</w:t>
      </w:r>
    </w:p>
    <w:p>
      <w:r>
        <w:rPr>
          <w:b/>
        </w:rPr>
        <w:t>E. 4.1</w:t>
      </w:r>
    </w:p>
    <w:p>
      <w:r>
        <w:t>Nella querelata decisione, l'UFM ha considerato le allegazioni degli interessati circa i motivi d'asilo come inverosimili poiché contraddittorie e parzialmente tardive. In particolare, l'UFM ha rilevato che le versioni fornite dagli insorgenti divergerebbero su punti essenziali. A._______ avrebbe infatti dichiarato di essere svenuta dopo essere stata colpita allorché il marito avrebbe sostenuto ch'ella era cosciente seppur pallida, impaurita ed in silenzio. Sempre a mente dell'autorità di prime cure, vi sarebbe inoltre da constatare anche una divergenza quanto alle persone presenti in casa al momento dei fatti. Anche se prese separatamente, le versioni dei ricorrenti presterebbero il fianco a numerose critiche in quanto pregne di contraddizioni interne. A._______ avrebbe infatti fornito dichiarazioni contrastanti circa alcune circostanze riconducibili agli avvenimenti addotti, e meglio, avrebbe dapprima affermato di aver tentato di chiudere la porta contro gli assalitori salvo poi sostenere di averla effettivamente chiusa ed inoltre avrebbe dichiarato di essere tornata a Ghazni dopo la degenza, per poi negare tale evenienza. B._______ si sarebbe invece contraddetto in merito alla durata dell'astensione dal lavoro causata dalla paura di subire atti persecutori da parte dei talebani ed a riguardo della tempistica di abbandono dell'abitazione dopo l'attacco.</w:t>
      </w:r>
    </w:p>
    <w:p>
      <w:r>
        <w:rPr>
          <w:b/>
        </w:rPr>
        <w:t>E. 4.2</w:t>
      </w:r>
    </w:p>
    <w:p>
      <w:r>
        <w:t>Con ricorso, richiamati i fatti esposti in corso di procedura, gli insorgenti hanno contestato la decisione dell'UFM circa l'inverosimiglianza constatata dei loro motivi d'asilo. In particolare, essi ritengono che non vi sarebbero divergenze insanabili relativamente a quanto da loro dichiarato nelle rispettive audizioni a riguardo dello stato di coscienza di A._______ durante il tragitto verso l'ospedale e che le incongruenze in merito alle persone presenti in casa al momento dei fatti siano da imputare alle diverse accezioni di famigliari intese dagli interessati. Quanto alle contraddizioni presenti nel racconto di A._______, occorrerebbe invece ammettere che l'epiteto "non sono riuscita" non andrebbe ricondotto al tentativo di chiusura della porta ma a quello di mettersi in salvo. Il fatto di aver dichiarato di aver fatto ritorno a Ghazni sarebbe invece da ricondurre ad un momento di confusione della ricorrente o ad un'incomprensione con l'interprete. Infine, seppur il ricorrente non sia in misura di indicare il minuto preciso della partenza né i giorni di astensione dal lavoro susseguenti alle minacce dei Talebani, da quanto dichiarato da B._______ non si potrebbe dedurre l'inverosimiglianza degli avvenimenti addotti. I ricorrenti concludono quindi che, pur non potendo negare l'esistenza di alcune incongruenze di dettaglio, in parte riconducibili ai problemi di memoria di A._______, attestati da certificato medico, la motivazione dell'autorità non sarebbe tale da consentire di sostenere una decisione del tenore di quella impugnata. Essi rilevano inoltre di aver provato per mezzo di documenti incontestabili il loro lavoro di insegnanti e le ferite subite A._______ non lascerebbero dubbi quanto al fatto che le avrebbero sparato.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Nel caso che ci occupa, il fatto che i ricorrenti siano stati impiegati dal governo afgano come insegnanti non sembra essere stato posto in discussione dall'autorità di prime cure. Tale vicissitudine sembrerebbe anche confermata dalla documentazione presente agli atti e inoltre le dichiarazioni dei ricorrenti in sede di audizioni non paiono contenere contraddizioni sul tema. In ragione di ciò, il Tribunale parte dall'assunto che essi abbiano effettivamente svolto tale attività nel distretto di Quarabagh, a partire dal 2006 e sino al 2010. Ciò detto, appare ora opportuno procedere preliminarmente analizzando la situazione nel luogo d'origine degli insorgenti al momento degli avvenimenti adotti, per poi esaminare, su tale base, l'entità e la congruenza delle allegazioni da loro fornite.</w:t>
      </w:r>
    </w:p>
    <w:p>
      <w:r>
        <w:rPr>
          <w:b/>
        </w:rPr>
        <w:t>E. 6.2</w:t>
      </w:r>
    </w:p>
    <w:p>
      <w:r>
        <w:t>La provincia di Ghazni è risultata essere molto colpita in tutti in conflitti scoppiati in Afghanistan. Già durante il regime comunista, la popolazione si venne a trovare nel bel mezzo delle ostilità tra le forze governative e le varie fazioni di mujahiddin. A seguito dell'affermazione dei Talebani nella seconda metà degli anni '90, la regione risultò poi tra le più toccate dall'oscurantismo religioso e dalle violazioni sistematiche dei diritti umani da essi messe in atto, in particolare nei confronti della popolazione femminile. Nonostante un provvisorio miglioramento facente seguito all'intervento della coalizione internazionale nei primi anni 2000, la situazione, sul finire della decade mutò nuovamente in peggio. Per quanto riguarda in particolare il distretto di Qarabagh, fonti indipendenti riportavano, nel 2010-2011, che seppur formalmente integrato nel territorio governativo, i territori abitati dall'etnia Pasthun erano in prevalenza controllati dai Talebani o quantomeno vi era una forte presenza di quest'ultimi. Della cinquantina di scuole presenti sul territorio, solo quelle situate nelle zone abitate dagli Hazara risultavano attive. Nell'area di influenza dei Talebani, gli istituti risultavano invece perlopiù destinati ad altri scopi, quali ad esempio gli studi religiosi, e vietati alle persone di sesso femminile. Come già avvenuto negli anni '90, il controllo da parte dei Talebani veniva esercitato, direttamente o indirettamente, per mezzo della paura e dell'intimidazione. In particolare vi sarebbero state evidenze di sparizioni e omicidi ad opera di quest'ultimi nei confronti di impiegati dell'attuale governo. Intervistati sul tema da una ONG attiva sul territorio, diversi ex dipendenti governativi avrebbero espressamente dichiarato di essersi trasferiti nelle zone urbane in quanto temevano di venire uccisi dai Talebani. Frequenti sarebbero inoltre state le discussioni della popolazione femminile in merito ai tentativi violenti di impedire alle donne di recarsi a scuola e molte giovani avrebbero riportato notizia circa dei casi nei quali i Talebani avrebbero cosparso acido o messo bombe nelle scuole (cfr. Afghanistan Research and Evaluation Unit (AREU), Legacies of Conflict: Healing Complexes and Moving Forwards in Ghazni Province, 10.2011, http://www.areu.org.af/Uploads/EditionPdfs/1126E%20%20Legacies%20of%20Conflict%20-%20Ghazni%20%20CS%202011.pdf &gt;, c- onsultato il 04.10.2016; Radio Free Europe, Western Withdrawal Date Brings Old Debate On Islamic Law Into Focus, 05.09.2010, &lt; http://www.rferl.org/a/Wstern_Wthdrwal_Date_Brings_Old_Deate_On_Islamic_Law_Into_Focus/2148925.html &gt;, consultato il 29.09.2016).</w:t>
      </w:r>
    </w:p>
    <w:p>
      <w:r>
        <w:rPr>
          <w:b/>
        </w:rPr>
        <w:t>E. 6.3</w:t>
      </w:r>
    </w:p>
    <w:p>
      <w:r>
        <w:t>In specie, i ricorrenti hanno addotto in primo luogo di aver ricevuto notizie quanto al fatto che i Talebani avevano proferito delle minacce nei confronti dei dipendenti del governo presso la locale moschea (cfr. atto A26, pag. 6 e A30, pag. 6). Dal momento che gli insorgenti sarebbero stati al corrente di diversi casi nei quali tali minacce si erano poi concretizzate essi avrebbero quindi deciso di astenersi dal lavoro per un certo lasso di tempo (cfr. Ibidem). Dopo essere stati rassicurati dai rappresentanti delle locali autorità, i ricorrenti sarebbero poi tornati alle proprie mansioni ma alcune settimane dopo alcuni miliziani si sarebbero presentati presso la loro abitazione colpendo A._______ con una arma da fuoco alla gamba dopo che lei aveva tentato di fuggire verso l'interno della casa (cfr. atto A30, pag. 7). B._______, che si trovava in un altro locale, sarebbe quindi accorso senza indugio trovando la moglie distesa nel proprio sangue e la avrebbe poi trasportata poco dopo presso il locale ospedale con l'aiuto dei vicini che possedevano un veicolo (cfr. atto A30, pag. 7 e 9).</w:t>
      </w:r>
    </w:p>
    <w:p>
      <w:r>
        <w:rPr>
          <w:b/>
        </w:rPr>
        <w:t>E. 6.4</w:t>
      </w:r>
    </w:p>
    <w:p>
      <w:r>
        <w:t>Ora, alla luce di tale situazione nel paese d'origine e considerata l'insindacabilità dell'impiego dei ricorrenti quali docenti, il Tribunale ritiene dapprima che gli avvenimenti da loro adotti possano inscriversi in un contesto di generale plausibilità. Il racconto fornito non si discosta infatti da altri avvenimenti simili avvenuti nella regione e riguardanti in particolare dipendenti statali e, inoltre, il fatto stesso che la ricorrente sia una donna ed abbia insegnato a delle alunne in una scuola femminile fa pendere l'ago della bilancia a favore di una complessiva verosimiglianza. Il criterio di plausibilità, tenuto conto della situazione nel luogo di provenienza dei ricorrenti, è pertanto da considerarsi soddisfatto.</w:t>
      </w:r>
    </w:p>
    <w:p>
      <w:r>
        <w:rPr>
          <w:b/>
        </w:rPr>
        <w:t>E. 6.5</w:t>
      </w:r>
    </w:p>
    <w:p>
      <w:r>
        <w:t>Ciò detto, resta ora da esaminare il tenore delle versioni allegate dai ricorrenti al fine di determinare se esse siano sufficientemente sostanziate e coerenti fra loro. In tal senso, i ricorrenti paiono aver fornito molti dettagli in merito agli avvenimenti addotti. A._______, nonostante i problemi di memoria da lei più volte avanzati ed attestati da certificato del servizio psico-sociale F._______ (cfr. risultanze processuali), è stata in misura di descrivere dettagliatamente quanto accaduto quella sera ed in particolare l'agire degli assalitori, il loro numero, le sue reazioni all'irruzione, e anche gli avvenimenti susseguenti (cfr. atto A26, pagg. 6 e segg.). B._______ ha a sua volta ben circostanziato le proprie allegazioni, fornendo un resoconto esaustivo e ricco di particolari, partendo dai presupposti e dalla situazione generale nella regione di provenienza, che peraltro coincidono con quanto il Tribunale ha già avuto modo di ritenere (cfr. a tal proposito atto A30, pagg. 5 e 6 con supra consid. 6.2), e giungendo sino agli avvenimenti di quella sera ed al periodo susseguente (cfr. atto A30, pagg. 7 e segg.). Egli è particolarmente esauriente allorché presenta quanto successo, illustrando con precisione i suoi spostamenti, le persone implicate, la situazione in cui si trovava la moglie e il trasporto in ospedale (cfr. atto A 30, pag. 7) e risponde prontamente alle puntuali domande dell'auditore chiarendo anche gli aspetti secondari della vicenda (cfr. ad esempio atto A30, D47 a proposito del suo agire dopo aver udito gli spari). Da un punto di vista generale, i racconti dei ricorrenti paiono inoltre collimare tra loro e non si discostano in maniera insanabile. Pure internamente, le dichiarazioni dei due non sembrano contenere contraddizioni in punti essenziali. Ciò nonostante, come sostenuto dall'autorità di prima istanza, non si può fare a meno di notare che alcune discrepanze tra e nei racconti sono effettivamente presenti. Le versioni divergono infatti quanto allo stato di coscienza della ricorrente, contengono riferimenti diversi in merito alle persone presenti in casa e sono inoltre evidenziabili alcune contraddizioni interne alle stesse, quali, in particolare, la questione della chiusura della porta, il ritorno a Ghazni ed alcune altre imprecisioni in merito alla durata di astensione dal lavoro ed al momento effettivo di abbandono della loro abitazione dopo gli avvenimenti (per maggiori dettagli e riferimenti ai verbali si veda decisione impugnata). Ora, a mente del Tribunale, tali divergenze possono in parte spiegarsi sulla base dei problemi di memoria della ricorrente e, ad ogni modo, non riguardano questioni a tal punto essenziali da far dubitare nel complesso quanto alla preponderante verosimiglianza delle allegazioni. Di conseguenza, le dichiarazioni dei ricorrenti ossequiano alle condizioni prescritte dall'art. 7 LAsi.</w:t>
      </w:r>
    </w:p>
    <w:p>
      <w:r>
        <w:rPr>
          <w:b/>
        </w:rPr>
        <w:t>E. 7</w:t>
      </w:r>
    </w:p>
    <w:p>
      <w:r>
        <w:t>Essendo i motivi addotti degli insorgenti verosimili, è ora necessario analizzarne la rilevanza in materia d'asilo.</w:t>
      </w:r>
    </w:p>
    <w:p>
      <w:r>
        <w:rPr>
          <w:b/>
        </w:rPr>
        <w:t>E. 7.1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7.2</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7.2.1</w:t>
      </w:r>
    </w:p>
    <w:p>
      <w:r>
        <w:t>Circa l'elemento oggettivo, è opportuno rilevare che, come già esposto in precedenza (cfr. supra consid. 6.2), vi sono evidenze quanto al fatto che i Talebani intervengono con estrema brutalità nei confronti dei dipendenti del governo. Il fatto di essere un insegnante, in particolare in una scuola femminile, che i Talebani non tollerano in alcun modo, pare, viste le testimonianze, aggravare ancor più la situazione. In tal senso, lo stesso alto commissariato delle Nazioni Unite per i diritti umani (UNHCR), inserisce i dipendenti del governo afgano tra i gruppi di persone a rischio suscettibili di ottenere la protezione internazionale facendo anche particolare riferimento ai docenti. Questi ultimi sono infatti identificati da tale entità quasi-statale estremista quali oppositori politici che "lavorano contro i Mujahideen" e sono spesso vittima di uccisioni mirate, intimidazioni e rapimenti (cfr. UNHCR Eligibility Guidelines for Assessing the International Protection Needs of Asylum-Seekers from Afghanistan, 16 aprile 2016, pagg. 34 e segg.). Ad oggi la situazione non risulta essersi modificata in modo sostanziale. Il distretto confinante di Andar è infatti tuttora definito come "Terra dei Talebani" e diversi i villaggi dello stesso distretto di Qarabagh risultano essere ancora sotto il giogo di quest'ultimi, tanto che il governo centrale ha espresso timori circa il fatto che l'intera aerea rurale della provincia di Ghazni possa cadere sotto il loro controllo. Il modus operandi dei Talebani non risulta inoltre mutato tanto che vi sono recenti evidenze quanto al fatto che questi ultimi abbiano imposto la chiusura di scuole e piazzato posti di blocco nella regione (cfr. European Asylum Support Office (EASO), EASO Country of Origin Information Report - Afghanistan: Security Situation, 01.2016, https://www.easo.europa.eu/sites/default/files/public/EASO-COIAfghanistan_Security_Situation-Z0416001ENN_FV1.pdf &gt;, consultato in data 17.10.2016; Landinfo Afghanistan: Generell sikkerhet og veisikkerhet, 20.11.2015, &lt; http://www.landinfo.no/aset/3254/1/3254_1.pdf &gt;, consultato il 04.10.2016; Afghanistan Analysts Network (AAN), A Bridge for the Taleban? Harakat, a former mujahedin party, leaps back into action, 14.12.2015, &lt; https://www.afghanistan-analysts.org/a-bridge-for-the-taleban-harakat-aformer-mujahedin-party-leaps-back-into-ation/ &gt;, co-nsultato 04.10.2016; Pajhwok, 12 Ghazni districts in danger of falling to Taliban, 16.06.2015, &lt; http://www.pajhwok.com/en/2015/06/16/12-ghazni-districts-danger-falling-taliban, abgerufen am 04.10.2016 &gt;). Alla luce di ciò, si può dunque concludere che i dipendenti del governo afgano ed in particolare coloro che sono stati impiegati come docenti nelle zone rurali dei distretti di Andar e Qarabagh hanno ragione di temere trattamenti che configurano una persecuzione determinante ai sensi dell'art. 3 LAsi.</w:t>
      </w:r>
    </w:p>
    <w:p>
      <w:r>
        <w:rPr>
          <w:b/>
        </w:rPr>
        <w:t>E. 7.2.2</w:t>
      </w:r>
    </w:p>
    <w:p>
      <w:r>
        <w:t>Nel caso che ci riguarda, si giunge alla stessa conclusione anche sul piano soggettivo, dal momento che gli episodi addotti dai ricorrenti assumono pacificamente gli estremi di una persecuzione anteriore rilevante in materia d'asilo e che inoltre, anche in assenza di una persecuzione anteriore, è legittimo chiedersi se, alla luce della situazione nel luogo di provenienza, il solo fatto per quest'ultimi di essere ex-impiegati del governo ed in particolare ex-docenti possa esporli maggiormente ad un fondato timore di subire persecuzioni future.</w:t>
      </w:r>
    </w:p>
    <w:p>
      <w:r>
        <w:rPr>
          <w:b/>
        </w:rPr>
        <w:t>E. 7.3</w:t>
      </w:r>
    </w:p>
    <w:p>
      <w:r>
        <w:t>Sulla scorta di quanto precede vi è da concludere che gli insorgenti hanno il fondato timore di subire seri pregiudizi per dei motivi rilevanti ai sensi dell'art. 3 LAsi. Non essendo tuttavia nel caso che ci occupa le persecuzioni imputabili allo stato in quanto tale ma ad un'entità quasi-statale che esercita un potere di fatto e ciò limitatamente ad alcune zone del paese d'origine (cfr. sulla nozione GICRA 2000 n° 2 e GICRA 1997 n° 14), occorre ancora, perché lo statuto di rifugiato possa essere riconosciuto, che i ricorrenti non possano ottenere una protezione adeguata in un'altra regione dell'Afghanistan.</w:t>
      </w:r>
    </w:p>
    <w:p>
      <w:r>
        <w:rPr>
          <w:b/>
        </w:rPr>
        <w:t>E. 8.1</w:t>
      </w:r>
    </w:p>
    <w:p>
      <w:r>
        <w:t>Secondo la teoria della protezione ("Schutztheorie"; precisata nella sentenza di principio DTAF 2011/51), il riconoscimento della qualità di rifugiato non dipende dall'autore della persecuzione, ma dalla possibilità di ottenere, nel proprio Stato di origine, una protezione adeguata contro tale persecuzione. Ciò nonostante, la qualità di rifugiato non può essere negata alla persona che ha subito una persecuzione in una parte del Paese, per il motivo che disporrebbe di un'alternativa di protezione interna in un'altra parte del Paese, se si trovasse, nel luogo della protezione interna, in una situazione che minacci la sua esistenza (cfr. DTAF 2011/51 consid. 8). In tal senso, è necessario che l'alternativa di protezione interna sia realisticamente attuabile e che ci si possa ragionevolmente attendere dalla persona interessata ch'ella vi faccia ricorso. In altre parole, va fatta applicazione della nozione di inesigibilità ai sensi dell'art. 83 cpv. 4 LStr (cfr. DTAF 2011/51 consid. 8.5.2-8.5.3).</w:t>
      </w:r>
    </w:p>
    <w:p>
      <w:r>
        <w:rPr>
          <w:b/>
        </w:rPr>
        <w:t>E. 8.2</w:t>
      </w:r>
    </w:p>
    <w:p>
      <w:r>
        <w:t>Nel caso che ci riguarda, l'UFM, con decisione del 19 dicembre 2014, ha posto i ricorrenti al beneficio dell'ammissione provvisoria per inesigibilità dell'esecuzione dell'allontanamento. Pertanto, le condizioni per il riconoscimento dell'esistenza di un'alternativa di protezione interna in un'altra parte del Paese non sono da considerarsi date.</w:t>
      </w:r>
    </w:p>
    <w:p>
      <w:r>
        <w:rPr>
          <w:b/>
        </w:rPr>
        <w:t>E. 9</w:t>
      </w:r>
    </w:p>
    <w:p>
      <w:r>
        <w:t>Ne viene pertanto che ai ricorrenti vada riconosciuta la qualità di rifugiato ai sensi dell'art. 3 LAsi. Ne consegue che la decisione impugnata viola il diritto federale avendo l'autorità inferiore erroneamente respinto la domanda d'asilo depositata dall'insorgente. Non risultando elementi che giustifichino un'esclusione degli insorgenti dalla concessione dell'asilo giusta l'art. 53 LAsi i ricorrenti sono pertanto riconosciuti come rifugiati e agli stessi deve essere concesso l'asilo. I figli minorenni, dal canto loro, vanno a loro volta riconosciuti come rifugiati e agli stessi va concesso asilo ai sensi dell'art. 51 cpv. 1 LAsi non essendovi circostanze particolari che si oppongano. Il ricorso è quindi accolto. La decisione impugnata è annullata e all'autorità inferiore è richiesto di accordare l'asilo in Svizzera ai ricorrenti (art. 49 LAsi).</w:t>
      </w:r>
    </w:p>
    <w:p>
      <w:r>
        <w:rPr>
          <w:b/>
        </w:rPr>
        <w:t>E. 10</w:t>
      </w:r>
    </w:p>
    <w:p>
      <w:r>
        <w:t>Visto l'esito della procedura non si prelevano spese processuali (art. 63 cpv. 1 seg. PA). Il Tribunale aveva comunque accolto la domanda di concessione dell'assistenza giudiziaria, nel senso della dispensa dal versamento delle spese di giustizia e del relativo anticipo, con decisione incidentale del 1° aprile 2015.</w:t>
      </w:r>
    </w:p>
    <w:p>
      <w:r>
        <w:rPr>
          <w:b/>
        </w:rPr>
        <w:t>E. 11</w:t>
      </w:r>
    </w:p>
    <w:p>
      <w:r>
        <w:t>Ai ricorrenti, non patrocinati in questa sede, non viene assegnata alcuna indennità di spese ripetibili (art. 64 cpv. 1 PA in relazione con l'art. 7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