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D-4246/2020 vom 9. März 2022</w:t>
      </w:r>
    </w:p>
    <w:p>
      <w:r>
        <w:t>Bundesverwaltungsgericht, 2022-03-09, DE</w:t>
      </w:r>
    </w:p>
    <w:p>
      <w:r>
        <w:rPr>
          <w:b/>
        </w:rPr>
        <w:t xml:space="preserve">Quelle: </w:t>
      </w:r>
      <w:r>
        <w:t>https://mcp.opencaselaw.ch/entscheid/bvger_D-4246_2020</w:t>
      </w:r>
    </w:p>
    <w:p>
      <w:r>
        <w:t>FR: TAF D-4246/2020 du 9 mars 2022</w:t>
      </w:r>
    </w:p>
    <w:p>
      <w:r>
        <w:t>IT: TAF D-4246/2020 del 9 marzo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83 Bst. d Ziff. 1 BGG; Art. 105 AsylG [SR 142.31]). Der Beschwerdeführer ist</w:t>
      </w:r>
    </w:p>
    <w:p>
      <w:r>
        <w:t>D-4246/2020 Seite 5 als Verfügungsadressat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2015/186 E. 5).</w:t>
      </w:r>
    </w:p>
    <w:p>
      <w:r>
        <w:rPr>
          <w:b/>
        </w:rPr>
        <w:t>E. 3.1</w:t>
      </w:r>
    </w:p>
    <w:p>
      <w:r>
        <w:t>In der Beschwerde wird die Verletzung des rechtlichen Gehörs sowie eine unrichtige Sachverhaltsfeststellung gerügt; diese Rügen sind vorab zu beurteilen, da sie gegebenenfalls geeignet sind, eine Kassation der vor- instanzlichen Verfügung zu bewirken. So rügt der Beschwerdeführer, die Vorinstanz habe seine Vorbringen bezüglich des Ermittlungsverfahrens in der Türkei nicht umfassend geprüft und die Ausführungen seines türki- schen Anwalts unberücksichtigt gelassen. Zudem sei ihm das Ergebnis der Botschaftsanfrage nicht offengelegt worden.</w:t>
      </w:r>
    </w:p>
    <w:p>
      <w:r>
        <w:rPr>
          <w:b/>
        </w:rPr>
        <w:t>E. 3.1.1</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(BVGE 2015/10 E. 3.2 m.w.H.). Die unrichtige oder unvollständige Feststellung des rechts- erheblichen Sachverhalts bildet somit einen Beschwerdegrund (Art. 106 Abs. 1 Bst. b AsylG). Unrichtig ist sie, wenn der Verfügung ein falscher und aktenwidriger Sachverhalt zugrunde gelegt wird oder Beweise falsch ge- würdigt worden sind; unvollständig ist sie, wenn nicht alle für den Entscheid rechtswesentlichen Sachumstände berücksichtigt werden (vgl. KÖLZ/ HÄNER/BERTSCHI, Verwaltungsverfahren und Verwaltungsrechtspflege des Bundes, 3. Aufl. 2013, Rz. 1043; statt vieler: Urteil des BVGer E-3615/2020 vom 18. Mai 2021 E. 3.2.3).</w:t>
      </w:r>
    </w:p>
    <w:p>
      <w:r>
        <w:rPr>
          <w:b/>
        </w:rPr>
        <w:t>E. 3.1.2</w:t>
      </w:r>
    </w:p>
    <w:p>
      <w:r>
        <w:t>Vorliegend erweist sich die Rüge der unvollständigen Sachverhalts- feststellung als unbegründet. Den Akten sind keinerlei Hinweise darauf zu entnehmen, dass die Vorinstanz die Vorbringen des Beschwerdeführers nicht sorgfältig und ernsthaft geprüft und in der Entscheidfindung berück- sichtigt hätte. So hat sie in der angefochtenen Verfügung denn auch nach-</w:t>
      </w:r>
    </w:p>
    <w:p>
      <w:r>
        <w:t>D-4246/2020 Seite 6 vollziehbar und hinreichend differenziert aufgezeigt, dass sie sich mit sämt- lichen seiner zentralen Vorbringen – insbesondere auch den (angeblichen) Ermittlungen der türkischen Behörden – und den eingereichten Beweismit- teln auseinandergesetzt hat (vgl. S. 4, Ziff. 2). Dabei durfte sich das SEM auf die wesentlichen Gesichtspunkte beschränken. Der blosse Umstand, dass der Beschwerdeführer die Beurteilung durch die Vorinstanz nicht teilt, stellt keine Gehörsverletzung dar, sondern beschlägt die Frage der materi- ellen Würdigung.</w:t>
      </w:r>
    </w:p>
    <w:p>
      <w:r>
        <w:rPr>
          <w:b/>
        </w:rPr>
        <w:t>E. 3.2.1</w:t>
      </w:r>
    </w:p>
    <w:p>
      <w:r>
        <w:t>Aus überwiegenden öffentlichen oder privaten Interessen kann die Einsicht in Akten teilweise oder ganz verweigert werden (Art. 27 VwVG), doch folgt aus dem Verhältnismässigkeitsprinzip (Art. 5 Abs. 2 BV) auch, dass der Anspruch auf Akteneinsicht nur so weit als nötig beschränkt wer- den darf (vgl. BVGE 2015/44 E. 5.1).</w:t>
      </w:r>
    </w:p>
    <w:p>
      <w:r>
        <w:rPr>
          <w:b/>
        </w:rPr>
        <w:t>E. 3.2.2</w:t>
      </w:r>
    </w:p>
    <w:p>
      <w:r>
        <w:t>Das mit „Rücksendung Botschaftsanfrage“ bezeichnete und vom SEM nicht offengelegte Aktenstück 1047166-8/1 wurde zu Recht nicht zur Akteneinsicht gegeben, zumal die öffentlichen Interessen an der Geheim- haltung im vorliegenden Fall klar überwiegen. Die Vorinstanz stützt denn die angefochtene Verfügung auch in keiner Weise auf das vorgenannte Ak- tenstück, welchem ohnehin das Potenzial zur Entscheidbeeinflussung ab- zusprechen ist. Eine Verletzung des rechtlichen Gehörs ist durch die Ein- sichtsverweigerung demnach nicht gegeben.</w:t>
      </w:r>
    </w:p>
    <w:p>
      <w:r>
        <w:rPr>
          <w:b/>
        </w:rPr>
        <w:t>E. 3.3</w:t>
      </w:r>
    </w:p>
    <w:p>
      <w:r>
        <w:t>Die formellen Rügen erweisen sich demnach als unbegründet und es besteht keine Veranlassung, die Verfügung aus formellen Gründen aufzu- heben und die Sache an die Vorinstanz zurückzuweisen.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(Art. 3 Abs. 2 AsylG).</w:t>
      </w:r>
    </w:p>
    <w:p>
      <w:r>
        <w:t>D-4246/2020 Seite 7</w:t>
      </w:r>
    </w:p>
    <w:p>
      <w:r>
        <w:rPr>
          <w:b/>
        </w:rPr>
        <w:t>E. 4.2</w:t>
      </w:r>
    </w:p>
    <w:p>
      <w:r>
        <w:t>Eine begründete Furcht vor Verfolgung im Sinne von Art. 3 AsylG liegt vor, wenn ein konkreter Anlass zur Annahme besteht, Letztere hätte sich – aus der Sicht im Zeitpunkt der Ausreise – mit beachtlicher Wahrscheinlich- keit und in absehbarer Zeit verwirklicht oder werde sich – auch aus heutiger Sicht – mit ebensolcher Wahrscheinlichkeit in absehbarer Zukunft verwirk- lichen. Es müssen demnach hinreichende Anhaltspunkte für eine konkrete Bedrohung vorhanden sein, die bei einem durchschnittlichen Menschen in vergleichbarer Lage Furcht vor Verfolgung und damit den Entschluss zur Flucht hervorrufen würden. Aufgrund der Subsidiarität des flüchtlingsrecht- lichen Schutzes setzt die Anerkennung der Flüchtlingseigenschaft ausser- dem voraus, dass die betroffene Person in ihrem Heimat- oder Herkunfts- staat keinen ausreichenden Schutz finden kann (vgl. BVGE 2011/51 E. 6, 2008/4 E. 5.2).</w:t>
      </w:r>
    </w:p>
    <w:p>
      <w:r>
        <w:rPr>
          <w:b/>
        </w:rPr>
        <w:t>E. 5.1</w:t>
      </w:r>
    </w:p>
    <w:p>
      <w:r>
        <w:t>Ihren ablehnenden Entscheid begründet die Vorinstanz im Wesentli- chen damit, dass die allgemeine Situation der kurdischen Bevölkerung in der Türkei für sich alleine nicht zur Anerkennung der Flüchtlingseigenschaft führe. So sei es allgemein bekannt, dass Angehörige dieser Bevölkerungs- gruppe durch die türkischen Behörden schikaniert und benachteiligt wür- den. Dabei handle es sich aber nicht um ernsthafte Nachteile im Sinne des Asylgesetzes, die einen Verbleib im Heimatland verunmöglichten oder un- zumutbar erschwerten. Die geltend gemachte Suspendierung des Be- schwerdeführers vom Dienst gehe in ihrer Intensität denn auch nicht über die Nachteile hinaus, die weite Teile der kurdischen Bevölkerung treffen könnten. Zudem könne das Ereignis nicht als für die Ausreise ausschlag- gebend betrachtet werden. Auch bezüglich seiner Mitgliedschaft bei der (…) habe der Beschwerdeführer keine konkreten Nachteile vorgebracht. Gleiches gelte für die Befragung durch die Gendarmerie vom 1. November 2018, bei welcher es sich ohnehin um eine legitime Massnahme der türki- schen Behörden und nicht um eine Verfolgungsmassnahme gehandelt habe. Es sei denn auch davon auszugehen, dass sofern ein Verfolgungs- interesse der türkischen Behörden bestehe, sie bereits zu einem früheren Zeitpunkt ein Strafverfahren gegen ihn eingeleitet hätten. Bis heute sei dies jedoch nicht der Fall. Darüber hinaus sei seinen Vorbringen nicht zu ent- nehmen, dass zu seiner Person ein Datenblatt bestehe und er aus diesem Grund ernsthaften Nachteilen im Sinne von Art. 3 AsylG ausgesetzt sein könnte. Demnach bestehe kein Grund zur Annahme, dass der Beschwer- deführer im Zusammenhang mit seiner Suspendierung, seiner Mitglied-</w:t>
      </w:r>
    </w:p>
    <w:p>
      <w:r>
        <w:t>D-4246/2020 Seite 8 schaft in der (…) oder der Befragung durch die Gendarmerie mit beachtli- cher Wahrscheinlichkeit und in absehbarer Zukunft von asylrelevanter Ver- folgung betroffen sein könnte.</w:t>
      </w:r>
    </w:p>
    <w:p>
      <w:r>
        <w:rPr>
          <w:b/>
        </w:rPr>
        <w:t>E. 5.2</w:t>
      </w:r>
    </w:p>
    <w:p>
      <w:r>
        <w:t>Der Beschwerdeführer hält dem in der Rechtsmitteleingabe im Wesent- lichen entgegen, da er über ein politisches Profil verfüge, müsse er durch- aus befürchten, verhaftet zu werden. Als aktives Gewerkschaftsmitglied der (…) sei er unlängst als Oppositioneller in den Fokus der türkischen Behörden geraten und aus den eingereichten Ermittlungsakten gehe klar hervor, dass er nun verdächtigt werde, Mitglieder der PKK unterstützt zu haben. Es treffe zwar zu, dass die diesbezüglichen Ermittlungen weiter an- dauerten, doch sei die Eröffnung des Strafverfahrens absehbar. Ein faires Verfahren werde er diesfalls nicht erwarten können. Da er per Dekret aus dem Dienst entlassen worden sei, müsse auch davon ausgegangen wer- den, dass er im zentralen System als Terrorunterstützer registriert sei und ein Datenblatt zu seiner Person vorliege.</w:t>
      </w:r>
    </w:p>
    <w:p>
      <w:r>
        <w:rPr>
          <w:b/>
        </w:rPr>
        <w:t>E. 5.3</w:t>
      </w:r>
    </w:p>
    <w:p>
      <w:r>
        <w:t>In der Vernehmlassung hält die Vorinstanz an ihren Erwägungen fest und führt ergänzend aus, die auf Beschwerdeebene eingereichten Berichte von Hilfs- und Menschenrechtsorganisationen hätten keinen Beweiswert, denn ihnen mangle es an einem direkten Bezug zum Beschwerdeführer. Es erscheine zwar naheliegend, dass die türkischen Behörden Ermittlun- gen bezüglich der Fremdnutzung der Wohnung des Beschwerdeführers respektive ein Verfahren eingeleitet hätten und er dazu befragt worden sei, inwiefern er dadurch jedoch flüchtlingsrechtlich relevante Nachteile zu be- fürchten habe, sei nicht ersichtlich.</w:t>
      </w:r>
    </w:p>
    <w:p>
      <w:r>
        <w:rPr>
          <w:b/>
        </w:rPr>
        <w:t>E. 5.4</w:t>
      </w:r>
    </w:p>
    <w:p>
      <w:r>
        <w:t>Der Beschwerdeführer repliziert dazu, die Vorinstanz gehe zu Unrecht davon aus, der auf Beschwerdeebene eingereichte UYAP-Auszug beziehe sich nicht auf ihn, da darin lediglich auf ein Ermittlungsdossier verwiesen werde. Während eines Ermittlungsverfahrens könne nicht mittels Perso- nennamen nach Akten gesucht werden, diese Möglichkeit bestehe erst nachdem ein Gerichtsverfahren eröffnet worden sei. Zudem sei es ihm durch seinen türkischen Anwalt mittlerweile auch möglich gewesen, einen Auszug aus dem Anmelde- und Kriminalitätsbüro der Staatsanwaltschaft E._______ zu erhalten, in welchem er als verdächtige Person namentlich genannt werde.</w:t>
      </w:r>
    </w:p>
    <w:p>
      <w:r>
        <w:rPr>
          <w:b/>
        </w:rPr>
        <w:t>E. 6.1</w:t>
      </w:r>
    </w:p>
    <w:p>
      <w:r>
        <w:t>Das Bundesverwaltungsgericht gelangt nach Durchsicht der Akten zum Schluss, dass die Vorinstanz in ihren Erwägungen zutreffend festgehalten</w:t>
      </w:r>
    </w:p>
    <w:p>
      <w:r>
        <w:t>D-4246/2020 Seite 9 hat, die Vorbringen des Beschwerdeführers genügten den Anforderungen an die Flüchtlingseigenschaft gemäss Art. 3 AsylG nicht. Auf die be- treffenden Ausführungen in der angefochtenen Verfügung und der Vernehmlassung (vgl. E. 5.1 und 5.3 hiervor) kann mit den nachfolgenden Ergänzungen verwiesen werden. Die Ausführungen auf Beschwerdeebene und die eingereichten Beweismittel führen zu keiner anderen Betrachtungsweise.</w:t>
      </w:r>
    </w:p>
    <w:p>
      <w:r>
        <w:rPr>
          <w:b/>
        </w:rPr>
        <w:t>E. 6.2</w:t>
      </w:r>
    </w:p>
    <w:p>
      <w:r>
        <w:t>Zu Recht stellt die Vorinstanz fest, dass die vom Beschwerdeführer gel- tend gemachten Schikanen der türkischen Behörden keine asylrelevanten Nachteile darstellen. So mangelt es seinen Vorbringen bereits an der für die Flüchtlingseigenschaft vorausgesetzten Intensität. Seine Argumenta- tion, bei der Entlassung aus dem Schuldienst handle es sich (faktisch) um ein Berufsverbot, vermag nicht zu überzeugen, geht doch aus der Überset- zung des diesbezüglichen Dekrets durch das SEM hervor, die suspendier- ten Personen seien lediglich von «öffentlichen Ämtern» ausgeschlossen (vgl. BM6). Hinweise darauf, die Tätigkeit als Lehrer könnte ihm auch in privaten Institutionen verunmöglicht worden sein, finden sich in den Akten nicht. Vielmehr ist fraglich, ob er sich nach seiner Entlassung überhaupt um eine neue Anstellung bemüht hat. Nichtsdestotrotz stellt auch ein allge- meines Berufsverbot keine asylbeachtliche Verfolgung dar. Wenig wahr- scheinlich erscheint auch seine Vermutung, er sei aufgrund seiner Gewerk- schaftszugehörigkeit entlassen worden. Dass er diesbezüglich in den Fo- kus der heimatlichen Behörden geraten und als Regimegegner identifiziert worden sein könnte, ist aufgrund der Akten nicht anzunehmen. Zwar gab er an, «sehr aktiv […] an allen Aktivitäten in erster Reihe teilgenommen» zu haben, verzichtete jedoch darauf, dies näher auszuführen oder zu bele- gen, und räumte ein, er habe «keine leitende Funktion» innegehabt (vgl. A17/11 F34 ff.). Bezüglich der geltend gemachten Hausdurchsuchung und Beschlagnahme ist sodann festzuhalten, dass nicht nachvollziehbar erscheint, dass der Beschwerdeführer die «Ende 2015/Anfang 2016» in seiner Wohnung vorgefundenen Gegenstände der Hausbesetzer (vgl. A13/20 F7.01) bis zur Hausdurchsuchung Ende Januar 2016 aufbe- wahrt haben soll, musste er doch davon ausgehen, dass ihn diese allenfalls belasten könnten. Dass die türkischen Behörden dann wiederrum fast drei Jahre zugewartet und ihn erst im November 2018 zur Beschlagnahme vom Januar 2016 befragten, um ihn anschliessend nicht weiter zu behelligen (vgl. A17/11 F65 f.), lässt ebenso wenig auf eine konkrete Bedrohungslage im Zeitpunkt der Ausreise schliessen.</w:t>
      </w:r>
    </w:p>
    <w:p>
      <w:r>
        <w:t>D-4246/2020 Seite 10</w:t>
      </w:r>
    </w:p>
    <w:p>
      <w:r>
        <w:rPr>
          <w:b/>
        </w:rPr>
        <w:t>E. 6.3</w:t>
      </w:r>
    </w:p>
    <w:p>
      <w:r>
        <w:t>Zutreffend weist die Vorinstanz darauf hin, dass Befürchtungen, künftig staatlichen Verfolgungsmassnahmen ausgesetzt zu sein, nur dann asylre- levant sind, wenn begründeter Anlass zur Annahme besteht, dass sich die Verfolgung mit beachtlicher Wahrscheinlichkeit und in absehbarer Zukunft verwirklicht. So wird auf Beschwerdeebene denn auch eingeräumt, dass die geltend gemachten Ermittlungen noch andauern und seit der Ausreise des Beschwerdeführers im Juni 2019 kein Strafverfahren eröffnet wurde (vgl. Beschwerde, S. 16). Alleine die wiederholt geäusserte Befürchtung, es liege in seinem Fall möglicherweise ein Datenblatt vor und bei seiner Wiedereinreise in die Türkei bestehe das Risiko einer Verhaftung, vermag keinen begründeten Anlass zur Annahme zu geben, dass sich eine allfäl- lige Verfolgung durch die türkischen Behörden in absehbarer Zukunft ver- wirklichen werde. Daran vermag auch das in der Beschwerdeschrift be- hauptete, aber nicht weiter substantiierte Nachfragen der Behörden bei sei- ner Familie und dem Dorfvorsteher in der Türkei nichts zu ändern, zumal er doch während des erstinstanzlichen Verfahrens zu Protokoll gab, seine Familie habe keine Probleme (vgl. A17/11 F18). An dieser Einschätzung vermögen auch die eingereichten Beweismittel nichts zu ändern, zumal es sich ausschliesslich um Fotokopien handelt, die beliebige Änderungen zulassen. Die Erklärungen in der Beschwerdeschrift, die Originale der Ermittlungsakten könnten nicht beschafft werden, denn gemäss den türkischen Behörden sei eine weitere Bestätigung nicht not- wendig, ist ausweichend und kaum logisch nachvollziehbar. Zwar äusserte der türkische Anwalt F._______ in seinem Schreiben vom 15. Januar 2021 ebenfalls Bedenken, dass gegen den Beschwerdeführer ein Strafverfahren eröffnet werden könnte, doch handelt es sich dabei wohl lediglich um eine Vermutung. Da das Schreiben als blosses Gefälligkeitsschreiben zu würdi- gen ist, kommt ihm ohnehin keine hohe Beweiskraft zu. Es besteht somit auch diesbezüglich kein Grund zur Annahme, der Beschwerdeführer könnte – wie behauptet – im Zusammenhang mit seiner Suspendierung, seiner Mitgliedschaft bei der (…) oder der Beschlagnahme mit beachtlicher Wahrscheinlichkeit und in absehbarer Zukunft asylrelevanter Verfolgung ausgesetzt sein.</w:t>
      </w:r>
    </w:p>
    <w:p>
      <w:r>
        <w:rPr>
          <w:b/>
        </w:rPr>
        <w:t>E. 6.4</w:t>
      </w:r>
    </w:p>
    <w:p>
      <w:r>
        <w:t>Zusammenfassend ist es dem Beschwerdeführer somit nicht gelungen, eine bestehende oder drohende, asylrechtlich relevante Gefährdung nach- zuweisen oder glaubhaft zu machen. Folglich hat die Vorinstanz seine Flüchtlingseigenschaft zu Recht verneint und sein Asylgesuch folgerichtig abgelehnt.</w:t>
      </w:r>
    </w:p>
    <w:p>
      <w:r>
        <w:t>D-4246/2020 Seite 11</w:t>
      </w:r>
    </w:p>
    <w:p>
      <w:r>
        <w:rPr>
          <w:b/>
        </w:rPr>
        <w:t>E. 7.1</w:t>
      </w:r>
    </w:p>
    <w:p>
      <w:r>
        <w:t>Gemäss Art. 44 AsylG verfügt das SEM in der Regel die Wegweisung aus der Schweiz, wenn es das Asylgesuch ablehnt oder darauf nicht ein- tritt.</w:t>
      </w:r>
    </w:p>
    <w:p>
      <w:r>
        <w:rPr>
          <w:b/>
        </w:rPr>
        <w:t>E. 7.2</w:t>
      </w:r>
    </w:p>
    <w:p>
      <w:r>
        <w:t>Der Beschwerdeführer verfügt weder über eine ausländerrechtliche Aufenthaltsbewilligung noch über einen Anspruch auf Erteilung einer sol- chen (vgl. BVGE 2013/37 E. 4.4; BVGE 2009/50 E. 9, je m.w.H.). Die Weg- weisung wurde demnach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8.3</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 mehr nach den allgemeinen verfassungs- und völkerrechtlichen Bestim- mungen (Art. 25 Abs. 3 BV; Art. 3 des Übereinkommens vom 10. Dezember 1984 gegen Folter und andere grausame, unmenschliche oder erniedri- gende Behandlung oder Strafe [FoK, SR 0.105]; Art. 3 EMRK). Weder aus den Aussagen des Beschwerdeführers noch aus den Akten er- geben sich Anhaltspunkte dafür, dass er für den Fall einer Ausschaffung in den Heimatstaat dort mit beachtlicher Wahrscheinlichkeit einer nach Art. 3 EMRK oder Art. 1 FoK verbotenen Strafe oder Behandlung ausgesetzt</w:t>
      </w:r>
    </w:p>
    <w:p>
      <w:r>
        <w:t>D-4246/2020 Seite 12 wäre. Gemäss der Praxis des Europäischen Gerichtshofes für Menschen- 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 Auch lässt die allgemeine Menschenrechtssituation in der Türkei nicht auf das Bestehen eines "real risk" einer völkerrechtswidrigen Behand- lung schliessen (vgl. Urteil des BVGer E-125/2021 vom 4. Februar 2021 E. 8.3). Nach dem Gesagten ist der Vollzug der Wegweisung sowohl im Sinne der landes-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8.4.1</w:t>
      </w:r>
    </w:p>
    <w:p>
      <w:r>
        <w:t>Auch unter Berücksichtigung des Wiederaufflammens des türkisch- kurdischen Konfliktes sowie der bewaffneten Auseinandersetzungen zwischen der PKK und staatlichen Sicherheitskräften seit Juli 2015 in verschiedenen Provinzen im Südosten des Landes (im Einzelnen: Batman, Diyarbakir, Mardin, Siirt, Urfa und Van, anders als die Provinzen Hakkari und Sirnak, zu den Letzteren BVGE 2013/2 E. 9.6) sowie der Ent- wicklungen nach dem Militärputschversuch im Juli 2016 ist gemäss konstanter Praxis des Bundesverwaltungsgerichts nicht von einer Situation allgemeiner Gewalt oder bürgerkriegsähnlichen Verhältnissen in der Türkei – auch nicht für Angehörige der kurdischen Ethnie – auszugehen (vgl. Urteil des BVGer E-4607/2021 vom 12. Januar 2022 E. 9.3 m.w.H.).</w:t>
      </w:r>
    </w:p>
    <w:p>
      <w:r>
        <w:rPr>
          <w:b/>
        </w:rPr>
        <w:t>E. 8.4.2</w:t>
      </w:r>
    </w:p>
    <w:p>
      <w:r>
        <w:t>Darüber hinaus sind keine individuellen Gründe ersichtlich, die gegen einen Wegweisungsvollzug sprechen. Der junge Beschwerdeführer ist Lehrer und verfügt über reichlich Arbeitserfahrung (vgl. A13/20 F1.17.04 ff.), was ihm beim Aufbau einer neuen wirtschaftlichen Existenz entgegenkommen wird. In der Beschwerdeschrift wird denn auch einge- räumt, dass es zahlreichen ebenfalls per Dekret entlassenen Lehrkräften möglich war, in den Dienst zurückzukehren (vgl. Beschwerde vom 7. Sep- tember 2020, S. 13). Sollte der Beschwerdeführer wiedererwarten nicht wieder in seinem angestammten Beruf tätig werden können, ist dennoch davon auszugehen, dass er aufgrund seines vergleichsweise hohen Bil- dungsstands eine anderweitige Anstellung finden und, sofern dies notwen- dig sein sollte, erneut auf die finanzielle Unterstützung seiner Gewerkschaft</w:t>
      </w:r>
    </w:p>
    <w:p>
      <w:r>
        <w:t>D-4246/2020 Seite 13 zurückgreifen kann. Zudem leben zahlreiche seiner Verwandten, unter an- derem seine Mutter und Geschwister, in der Türkei, die seine Reisekosten finanzierten und zu welchen er weiterhin den Kontakt pflegt (vgl. A13/20 F1.16.04, F5.02 und A17/11 F12 ff.). Sofern notwendig steht ihm wohl auch die Möglichkeit offen, im Haushalt seiner verwitweten Mutter – mit welcher er bereits vor seiner Ausreise zusammenlebte – erneut unterzukommen (vgl. A13/20 F2.01). Demnach kann er im Heimatstaat auf ein familiäres Beziehungsnetz und allenfalls finanzielle Unterstützung zurückgreifen.</w:t>
      </w:r>
    </w:p>
    <w:p>
      <w:r>
        <w:rPr>
          <w:b/>
        </w:rPr>
        <w:t>E. 8.4.3</w:t>
      </w:r>
    </w:p>
    <w:p>
      <w:r>
        <w:t>Weiter ist festzuhalten, dass auch die medizinischen Beeinträchti- gungen des Beschwerdeführers der Zumutbarkeit des Wegweisungsvoll- zugs nicht entgegenstehen. Auf Unzumutbarkeit des Wegweisungsvoll- zugs aus medizinischen Gründen ist nach Lehre und konstanter Praxis nur dann zu schliessen, wenn eine notwendige medizinische Behandlung im Heimatland nicht zur Verfügung steht und die Rückkehr zu einer raschen und lebensgefährdenden Beeinträchtigung des Gesundheitszustands der betroffenen Person führen würde (vgl. BVGE 2011/50 E. 8.3 und 2009/2 E. 9.3.2 je m.w.H.). Gemäss dem Bericht von lic. phil. G._______, Fach- psychologin für Psychotherapie FSP, vom 9. November 2021 leidet der Be- schwerdeführer an einer schweren posttraumatischen Belastungsstörung sowie einer rezidivierenden depressiven Störung und befindet sich seit Juni 2020 in psychiatrisch-psychotherapeutischer Behandlung. Bei dieser Sachlage ist jedoch nicht von einer medizinischen Notlage im Sinne der vorstehend dargelegten Rechtsprechung auszugehen. Sofern der Be- schwerdeführer weiterhin einer Behandlung seiner psychischen Beschwer- den bedarf, ist gemäss Praxis des Bundesverwaltungsgerichts anzuneh- men, dass diese in der Türkei möglich ist (vgl. Urteil des BVGer E-3590/2020 vom 24. August 2020 E. 9.4.1 m.w.H.). Allfälligen spezifi- schen Bedürfnissen des Beschwerdeführers kann im Rahmen der medizi- nischen Rückkehrhilfe und einer möglichen vorübergehenden Verschlech- terung des Gesundheitszustandes durch entsprechende Ausgestaltung der Vollzugsmodalitäten Rechnung getragen werden (vgl. dazu etwa Urteil des BVGer E-4643/2020 vom 23. Oktober 2020 E. 8.5.5). Es ist deshalb nicht anzunehmen, seine Rückkehr in die Türkei würde zu einer raschen und lebensgefährdenden Beeinträchtigung seines Gesundheitszustandes führen.</w:t>
      </w:r>
    </w:p>
    <w:p>
      <w:r>
        <w:rPr>
          <w:b/>
        </w:rPr>
        <w:t>E. 8.4.4</w:t>
      </w:r>
    </w:p>
    <w:p>
      <w:r>
        <w:t>Zusammenfassend ist somit festzuhalten, dass weder seinen Aussa- gen im Rahmen des vorinstanzlichen Verfahrens noch den Beschwerde- vorbringen konkrete Gründe entnommen werden können, welche es als</w:t>
      </w:r>
    </w:p>
    <w:p>
      <w:r>
        <w:t>D-4246/2020 Seite 14 wahrscheinlich erscheinen liessen, dass der Beschwerdeführer im Falle ei- ner Rückkehr in sein Heimatland in eine existenzielle Notlage geraten würde. Nach dem Gesagten erweist sich der Vollzug der Wegweisung auch als zumutbar.</w:t>
      </w:r>
    </w:p>
    <w:p>
      <w:r>
        <w:rPr>
          <w:b/>
        </w:rPr>
        <w:t>E. 8.5</w:t>
      </w:r>
    </w:p>
    <w:p>
      <w:r>
        <w:t>Schliesslich verfügt der Beschwerdeführer über einen gültigen Identi- tätsausweis und obliegt es ihm, sich bei der zuständigen Vertretung des Herkunftsstaates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Die Anordnung der vorläufigen Aufnahme fällt somit ausser Betracht (Art. 83 Abs. 1–4 AIG).</w:t>
      </w:r>
    </w:p>
    <w:p>
      <w:r>
        <w:rPr>
          <w:b/>
        </w:rPr>
        <w:t>E. 9</w:t>
      </w:r>
    </w:p>
    <w:p>
      <w:r>
        <w:t>Aus diesen Erwägungen ergibt sich, dass die angefochtene Verfügung Bundesrecht nicht verletzt und auch sonst nicht zu beanstanden ist (Art. 106 Abs. 1 AsylG und Art. 49 VwVG). Die Beschwerde ist abzuweisen.</w:t>
      </w:r>
    </w:p>
    <w:p>
      <w:r>
        <w:rPr>
          <w:b/>
        </w:rPr>
        <w:t>E. 10.1</w:t>
      </w:r>
    </w:p>
    <w:p>
      <w:r>
        <w:t>Bei diesem Ausgang des Verfahrens wären die Kosten dem Be- schwerdeführer aufzuerlegen (Art. 63 Abs. 1 VwVG). Da jedoch mit Zwi- schenverfügung vom 4. Dezember 2020 die unentgeltliche Prozessführung gemäss Art. 65 Abs. 1 VwVG gewährt wurde und sich seine Verhältnisse zwischenzeitlich nicht wesentlich verändert haben, sind keine Verfahrens- kosten zu erheben.</w:t>
      </w:r>
    </w:p>
    <w:p>
      <w:r>
        <w:rPr>
          <w:b/>
        </w:rPr>
        <w:t>E. 10.2</w:t>
      </w:r>
    </w:p>
    <w:p>
      <w:r>
        <w:t>Mit derselben Verfügung wurde ausserdem das Gesuch um amtliche Verbeiständung gutgeheissen und dem Beschwerdeführer seine Rechts- vertreterin als Rechtsbeistand bestellt. Demnach ist dieser ein amtliches Honorar für ihre notwendigen Aufwendungen im Beschwerdeverfahren auszurichten. Die Festsetzung des amtlichen Honorars erfolgt in Anwendung der Art. 8-</w:t>
      </w:r>
    </w:p>
    <w:p>
      <w:r>
        <w:rPr>
          <w:b/>
        </w:rPr>
        <w:t>E. 11</w:t>
      </w:r>
    </w:p>
    <w:p>
      <w:r>
        <w:t>sowie Art. 12 VGKE (Reglement vom 21. Februar 2008 über die Kosten und Entschädigungen vor dem Bundesverwaltungsgericht [VGKE, SR 173.320.2]), wobei das Bundesverwaltungsgericht bei amtlicher Vertre- tung in der Regel von einem Stundenansatz von Fr. 100.– bis Fr. 150.– für nicht-anwaltliche Vertreterinnen und Vertreter ausgeht (Art. 12 i.V.m. Art. 10 Abs. 2 VGKE). Die Rechtsvertreterin weist in ihrer Kostennote vom</w:t>
      </w:r>
    </w:p>
    <w:p>
      <w:r>
        <w:t>D-4246/2020 Seite 15 7. September 2020 einen zeitlichen Aufwand von 24.33 Stunden bei einem Stundenansatz von Fr. 185.– aus und beziffert ihre Auslagen auf Fr. 12.60. Der ausgewiesene Zeitaufwand erscheint auch unter Berücksichtigung der in der Kostennote nicht aufgeführten Replik vom 15. Januar 2021 respek- tive der ergänzenden Replik vom 17. Januar 2021 überhöht und ist auf 18 Stunden zu kürzen. Bei dem für nicht-anwaltliche Vertreterinnen massgebenden maximalen Stundenansatz von Fr. 150.– ist demnach das Honorar auf Fr. 2’713.– (inklusive Auslagen und Mehrwertsteuerzuschlag) festzulegen. (Dispositiv nächste Seite)</w:t>
      </w:r>
    </w:p>
    <w:p>
      <w:r>
        <w:t>D-4246/2020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