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D-4243/2010 vom 25. Juni 2010</w:t>
      </w:r>
    </w:p>
    <w:p>
      <w:r>
        <w:t>Bundesverwaltungsgericht, 2010-06-25, DE</w:t>
      </w:r>
    </w:p>
    <w:p>
      <w:r>
        <w:rPr>
          <w:b/>
        </w:rPr>
        <w:t xml:space="preserve">Quelle: </w:t>
      </w:r>
      <w:r>
        <w:t>https://mcp.opencaselaw.ch/entscheid/bvger_D-4243_2010</w:t>
      </w:r>
    </w:p>
    <w:p>
      <w:r>
        <w:t>FR: TAF D-4243/2010 du 25 juin 2010</w:t>
      </w:r>
    </w:p>
    <w:p>
      <w:r>
        <w:t>IT: TAF D-4243/2010 del 25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 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Vorliegend führte die Schweizer Botschaft in C._______ am 24. März 2010 eine persönliche Befragung des Beschwerdeführers gemäss Art. 10 Abs. 1 AsylV 1durch.</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w:t>
      </w:r>
    </w:p>
    <w:p>
      <w:r>
        <w:t>Die Vorbringen in der Rechtsmitteleingabe vom 19. Mai 2010 (Eingangsstempel vom 21. Mai 2010) sind nicht geeignet, eine Änderung der vorinstanzlichen Verfügung zu bewirken. Der Argumentation des BFM werden keine stichhaltigen und substanziierten Gründe entgegengesetzt. Eine diesbezügliche Auseinandersetzung unterbleibt zwar nicht gänzlich, die Ausführungen des Beschwerdeführers vermögen jedoch die in den wesentlichen Punkten substanziierten und nachvollziehbaren Erwägungen des BFM nicht umzustossen. Was die in der Beschwerdeeingabe angeführten Behelligungen vom 24. April 2010 anbelangt, sind diese für sich allein betrachtet asylirrelevant. Seinen eigenen Angaben zufolge wurde der Beschwerdeführer von den beiden Männern lediglich einer Ausweiskontrolle unterzogen und gefragt, wo er gewesen sei und wohin er gehen möchte. Ausserdem hätten sie sich erkundigt, ob es seines Wissens in F._______ Personen gebe, die mit den LTTE zusammenarbeiten würden, nach seiner Mobiltelefonnummer verlangt und ihm weitere Kontakte in Aussicht gestellt. Was die geltend gemachten Behelligung und Drohungen durch sechs vermeintliche Polizeibeamte des CID in F._______ angelangt, kann sich der Beschwerdeführer an die zuständigen höheren Amtsstellen in seiner Heimat wenden, die einen allfälligen Amtsmissbrauch ihrer Beamten beziehungsweise Untergebenen ahnden. Aus den Akten geht nicht hervor, dass ein derartiges Begehren des Beschwerdeführers von den srilankischen Behörden nicht entgegengenommen worden wäre, noch dass er sich überhaupt an eine entsprechende Dienststelle gewandt hat. Den srilankischen Behörden kann somit keine Schutzverweigerung unterstellt werden, zumal wie in der angefochtenen Verfügung zutreffend festgestellt worden ist, der srilankische Staat grundsätzlich schutzfähig und schutzwillig ist. Es kann somit davon ausgegangen werden, dass seitens der srilankischen Behörden kein Verfolgungsinteresse mehr besteht. In casu ist deshalb weder eine aktuelle Verfolgung im Sinne von Art. 3 AsylG noch eine objektiv begründete Furcht davor auszumachen.</w:t>
      </w:r>
    </w:p>
    <w:p>
      <w:r>
        <w:rPr>
          <w:b/>
        </w:rPr>
        <w:t>E. 6</w:t>
      </w:r>
    </w:p>
    <w:p>
      <w:r>
        <w:t>Unter diesen Umständen erübrigt es sich, auf die weiteren Vorbringen in der Beschwerde sowie die eingereichten Beweismittel im Einzelnen einzugehen, da sie am Ergebnis nichts zu ändern vermögen. Es ist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dem Beschwerdeführer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