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D-4240/2013 vom 4. Oktober 2013</w:t>
      </w:r>
    </w:p>
    <w:p>
      <w:r>
        <w:t>Bundesverwaltungsgericht, 2013-10-04, DE</w:t>
      </w:r>
    </w:p>
    <w:p>
      <w:r>
        <w:rPr>
          <w:b/>
        </w:rPr>
        <w:t xml:space="preserve">Quelle: </w:t>
      </w:r>
      <w:r>
        <w:t>https://mcp.opencaselaw.ch/entscheid/bvger_D-4240_2013</w:t>
      </w:r>
    </w:p>
    <w:p>
      <w:r>
        <w:t>FR: TAF D-4240/2013 du 4 octobre 2013</w:t>
      </w:r>
    </w:p>
    <w:p>
      <w:r>
        <w:t>IT: TAF D-4240/2013 del 4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in der bisherigen Fassung des Asylgesetzes Geltung haben.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2.2</w:t>
      </w:r>
    </w:p>
    <w:p>
      <w:r>
        <w:t>Vorliegend wurde der Beschwerdeführer von der Schweizer Vertretung in Ankara am 7. Dezember 2012 entsprechend den zu beachtenden Bestimmungen zu seinen Asylgründen befragt und die Akten wurden am 13. Februar 2013 dem BFM übermittelt.</w:t>
      </w:r>
    </w:p>
    <w:p>
      <w:r>
        <w:rPr>
          <w:b/>
        </w:rPr>
        <w:t>E. 3.1</w:t>
      </w:r>
    </w:p>
    <w:p>
      <w:r>
        <w:t>Einer Person, welche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3.2</w:t>
      </w:r>
    </w:p>
    <w:p>
      <w:r>
        <w:t>Für die Erteilung einer Einreisebewilligung gelten restriktive Voraussetzungen, wobei den Behörden ein weiter Ermessensspielraum zu­kommt. Neben der erforderlichen Gefährdung im Sinne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S. 126).</w:t>
      </w:r>
    </w:p>
    <w:p>
      <w:r>
        <w:rPr>
          <w:b/>
        </w:rPr>
        <w:t>E. 4.1</w:t>
      </w:r>
    </w:p>
    <w:p>
      <w:r>
        <w:t>Der Beschwerdeführer brachte zur Begründung seines Asylgesuchs vom 22. Mai 2012 im Wesentlichen vor, gegen ihn seien insgesamt acht Gerichtsverfahren eröffnet worden, wovon drei rechtskräftig abgeschlossen seien. Am J._______ sei er vom H._______ in B._______ wegen (Nennung Anklage, Verurteilung und Strafmass) verurteilt worden. Überdies sei er durch dasselbe Gericht am I._______ wegen (Nennung Anklage, Verurteilung und Strafmass) verurteilt worden. Beide Verfahren seien derzeit beim Kassationshof hängig. Zudem seien weitere drei Verfahren in erster Instanz hängig: Am K._______ habe die Staatsanwaltschaft in L._______ wegen (Nennung Vorwürfe) ein Verfahren gegen ihn eröffnet. Wegen desselben Sachverhalts sei vor dem M._______ ein Verfahren gegen ihn eingeleitet worden. Sodann habe die Staatsanwaltschaft in B._______ am (...) gegen ihn und weitere (...) Personen ein Verfahren wegen (Nennung Vorwurf) eröffnet und er rechne damit, dass man ihm ein lebenslanges Politikverbot auferlege.</w:t>
      </w:r>
    </w:p>
    <w:p>
      <w:r>
        <w:rPr>
          <w:b/>
        </w:rPr>
        <w:t>E. 4.2</w:t>
      </w:r>
    </w:p>
    <w:p>
      <w:r>
        <w:t>Das Bundesverwaltungsgericht berücksichtigt bei seinen Urteilen die neueste ihm bekannte Rechtsprechung des Bundesgerichtes (vgl. André Moser, Michael Beusch, Lorenz Kneubühler, Prozessieren vor dem Bundesverwaltungsgericht, Handbücher für die Anwaltspraxis, Band X, Basel 2008, Rz. 2.198, S. 89). Zur Qualifikation des Vorgehens der Kurdischen Arbeiterpartei (PKK) in der Türkei führt das Bundesgericht in BGE 133 IV 76 (1A.181/2006/1A.211/2006) E. 3.8 S. 85 aus: "Selbst in bürgerkriegsähnlichen Auseinandersetzungen handelt es sich dabei nicht mehr um angemessene oder wenigstens einigermassen verständliche Mittel des gewalttätigen Widerstands gegen die geltend gemachte ethnische Verfolgung und Unterdrückung (BGE 131 II 235 E. 3.2-3.3 S. 245 f.; 130 II 337 E. 3.2-3.3 S. 343 f.; 128 II 355 E. 4.2 S. 365, je mit Hinweisen)". Demnach erachtet das Bundesgericht von der PKK ausgeübte Gewaltanwendung als unverhältnismässig und nicht gerechtfertigt. Aufgrund des Gesagten und der Tatsache, dass der Beschwerdeführer gemäss den eingereichten türkischen Gerichtsunterlagen wegen (Nennung Anklage) wiederholt zu Haftstrafen verurteilt wurde, ist übereinstimmend mit der Vorinstanz festzuhalten, dass die aus den Akten ersichtliche strafrechtliche Verfolgung des Beschwerdeführers durch die türkischen Behörden (Nennung Vorwürfe) im Kern als rechtsstaatlich legitim zu bezeichnen ist. Daran vermag auch der Umstand nichts zu ändern, dass sich der Beschwerdeführer in seinen Eingaben auf Beschwerdeebene selber nicht als Mitglied oder Sympathisant der N._______ bezeichnet und - wie er dies gemäss den eingereichten gerichtlichen Unterlagen zufolge in den jeweiligen Gerichtsverfahren tat - sämtliche Vorwürfe bestreitet. Die beiden mittlerweile vom Kassationshof zu beurteilenden Urteilssprüche des H._______ in B._______ vom J._______ und vom I._______ zu jeweils mehrjährigen Gefängnisstrafen erscheinen zwar auf den ersten Blick als relativ hoch, aber in Berücksichtigung der dem Beschwerdeführer vorgeworfenen schwer wiegenden Delikte nicht als derart unverhältnismässig, dass daraus auf einen Politmalus geschlossen werden müsste (von einem Politmalus ist dann auszugehen, wenn die Verurteilung wegen eines gemeinrechtlichen Delikts eine Verfolgung im flüchtlingsrechtlichen Sinne darstellt und beispielsweise eine unverhältnismässig hohe Strafe ausgefällt wird; vgl. dazu statt vieler: Urteil des Bundesverwaltungsgerichts E-7102/2010 vom 20. Januar 2012). Zudem sprechen diverse Punkte in der Tat dafür, dass sich das erwähnte Gericht jeweils sorgfältig und kritisch mit seinem Fall auseinandersetzte. So konnte es sich bei der Beurteilung des Sachverhalts auf diverse Beweismittel wie Zeugenaussagen, Bildaufnahmen und die Resultate der Telefonüberwachung des Beschwerdeführers und der bei der Durchsuchung seiner Wohnung beschlagnahmten und ihn belastenden Druckerzeugnisse stützen. Jedenfalls finden sich in diesem Zusammenhang keine Hinweise, die seinen Einwand, das Gericht habe die Faktenlage ausschliesslich zu seinen Ungunsten gewertet, bestätigen könnten. Der Beschwerdeführer beschränkte sich offenbar denn auch anlässlich der Gerichtsverhandlungen darauf, sämtliche Vorwürfe pauschal zu bestreiten und von seinem Schweigerecht Gebrauch zu machen, ohne diesbezüglich auf allfällig bestehende Entlastungspunkte respektive -zeugen hinzuweisen. Aus den Akten sind überdies keine anderen Hinweise ersichtlich, die die erwähnten Strafverfahren gegen den Beschwerdeführer in erheblichem Masse als rechtsstaatlich unzulässig erscheinen lassen würden, auch wenn das ausgefällte Strafmass für schweizerische Verhältnisse relativ hoch erscheinen mag (vgl. jedoch obige Ausführungen zum Politmalus). Insbesondere machte der Beschwerdeführer vorliegend nicht geltend, er sei zu einem bestimmten Zeitpunkt während der Inhaftierungen zu einem Geständnis gezwungen worden. Hinsichtlich der gegen ihn laufenden Strafverfahren ist ausserdem festzuhalten, dass derzeit je ein Revisionsverfahren vor dem Kassationsgericht hängig ist. Auch wenn er eine Bestätigung der erstinstanzlichen Urteile erwartet, besteht ebenso die Möglichkeit, dass ihn das Kassationsgericht milder bestrafen oder das erstinstanzliche Urteil aufheben könnte. In diesem Zusammenhang ist denn auch darauf hinzuweisen, dass ihn zwar am (...) das H._______ in B._______ wegen (Nennung Anklage, Verurteilung und Strafmass) verurteilte, der Kassationshof in der Folge jedoch dieses Urteil aufhob und er vom erstinstanzlichen Gericht sodann im darauffolgenden Verfahren im (...) freigesprochen wurde. Jedenfalls steht im heutigen Zeitpunkt noch gar nicht definitiv fest, ob und in welchem Umfang er letztinstanzlich verurteilt werden wird. Im Weiteren befindet er sich gemäss eigenen Aussagen derzeit auf freiem Fuss und hält sich weiterhin in der Türkei auf, was darauf hindeutet, dass er - abgesehen von einer eventuellen Verbüssung der Haftstrafe - keine Furcht vor weiteren Verfolgungshandlungen des Staates zu haben scheint respektive von den türkischen Behörden aufgrund des Vorfalls und der Verurteilung wegen Mitgliedschaft und Propaganda zugunsten der N._______ keine nennenswerten Nachteile mehr zu befürchten hat, wäre er doch ansonsten vor über (...) Jahren nicht freigelassen, sondern vorsorglich in Haft genommen worden. Zwar gibt er an, es bestehe gegen ihn ein Ausreiseverbot und er halte sich seit einiger Zeit versteckt. Trotzdem wird er seinen eigenen Angaben zufolge behördlich nicht gesucht und er kann sich innerhalb seiner Heimat frei bewegen. Schliesslich ist hinsichtlich der erstinstanzlich hängigen Verfahren anzufügen, dass diesbezüglich noch gar nicht feststeht, ob es dabei überhaupt zu einer Verurteilung des Beschwerdeführers kommen wird. Zusammenfassend ist daher festzuhalten, dass in Bezug auf den Beschwerdeführer keine Gefährdung im Sinne von Art. 3 AsylG vorliegt.</w:t>
      </w:r>
    </w:p>
    <w:p>
      <w:r>
        <w:rPr>
          <w:b/>
        </w:rPr>
        <w:t>E. 4.3</w:t>
      </w:r>
    </w:p>
    <w:p>
      <w:r>
        <w:t>Das BFM hat demnach dem Beschwerdeführer die Einreise in die Schweiz zu Recht verweigert und das Asylgesuch abgelehnt. Unter diesen Umständen erübrigt es sich, auf weitere Vorbringen in der Beschwerde sowie die eingereichten Beweismittel im Einzelnen weiter einzugehen, da sie am Ergebnis nichts zu ändern vermögen. Zusammenfassend ist festzustellen, dass die Schutzbedürftigkeit des Beschwerdeführers im Sinne von alt Art. 20 AsylG in Verbindung mit Art. 3 AsylG als nicht gegeben zu qualifizieren ist und auch keine anderen Gründe die Erteilung einer Einreisebewilligung indizieren, zumal der Beschwerdeführer keinerlei Beziehungen zur Schweiz aufweist.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