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D-423/2011 vom 28. März 2011</w:t>
      </w:r>
    </w:p>
    <w:p>
      <w:r>
        <w:t>Bundesverwaltungsgericht, 2011-03-28, FR</w:t>
      </w:r>
    </w:p>
    <w:p>
      <w:r>
        <w:rPr>
          <w:b/>
        </w:rPr>
        <w:t xml:space="preserve">Quelle: </w:t>
      </w:r>
      <w:r>
        <w:t>https://mcp.opencaselaw.ch/entscheid/bvger_D-423_2011</w:t>
      </w:r>
    </w:p>
    <w:p>
      <w:r>
        <w:t>FR: TAF D-423/2011 du 28 mars 2011</w:t>
      </w:r>
    </w:p>
    <w:p>
      <w:r>
        <w:t>IT: TAF D-423/2011 del 28 marzo 2011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et la décision du 4 janvier 2011 est annulée.</w:t>
      </w:r>
    </w:p>
    <w:p>
      <w:r>
        <w:rPr>
          <w:b/>
        </w:rPr>
        <w:t>E. 2</w:t>
      </w:r>
    </w:p>
    <w:p>
      <w:r>
        <w:t>La cause est renvoyée à l'ODM pour nouvelle décision, dans le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président du collège : La greffière : Pietro Angeli-Busi Laure Christ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