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D-4239/2025 vom 3. Juli 2025</w:t>
      </w:r>
    </w:p>
    <w:p>
      <w:r>
        <w:t>Bundesverwaltungsgericht, 2025-07-03, DE</w:t>
      </w:r>
    </w:p>
    <w:p>
      <w:r>
        <w:rPr>
          <w:b/>
        </w:rPr>
        <w:t xml:space="preserve">Quelle: </w:t>
      </w:r>
      <w:r>
        <w:t>https://mcp.opencaselaw.ch/entscheid/bvger_D-4239_2025</w:t>
      </w:r>
    </w:p>
    <w:p>
      <w:r>
        <w:t>FR: TAF D-4239/2025 du 3 juillet 2025</w:t>
      </w:r>
    </w:p>
    <w:p>
      <w:r>
        <w:t>IT: TAF D-4239/2025 del 3 luglio 2025</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D-4239/2025 Seite 4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worden. Der Be- schwerdeführer ist als Adressat der angefochtenen Verfügung zur Einrei- chung der Beschwerde legitimiert (Art. 105 und Art. 108 Abs. 6 AsylG; Art. 48 Abs. 1 sowie Art. 52 Abs. 1 VwVG). Auf diese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w:t>
      </w:r>
    </w:p>
    <w:p>
      <w:r>
        <w:t>Vorab ist festzustellen, dass die formelle Rüge des Beschwerdeführers, wonach die Vorinstanz ihrer Begründungspflicht ungenügend nachgekom- men sei (vgl. Beschwerde S. 7 Ziff. 17), keine Kassation zu bewirken ver- mag. Die Vorinstanz darf sich bei der Begründung der Verfügung auf die für den Entscheid wesentlichen Gesichtspunkte beschränken und ist nicht gehalten, sich ausdrücklich mit jeder tatbeständlichen Behauptung ausei- nanderzusetzen (vgl. BGE 136 I 184 E. 2.2.1, 126 I 97 E. 2b). Vorliegend hat das SEM zwar scheinbar knapp, aber hinreichend klar und mit Verweis auf die geltende Praxis dargelegt, aus welchen Gründen es betreffend B._______ die Voraussetzungen für das Familienasyl gemäss Art. 51 Abs. 1 AsylG als nicht erfüllt erachtet. Es besteht keine Veranlassung, die angefochtene Verfügung aus formellen Gründen aufzuheben. Das Eventu- albegehren um Rückweisung der Sache ist daher abzuweisen.</w:t>
      </w:r>
    </w:p>
    <w:p>
      <w:r>
        <w:rPr>
          <w:b/>
        </w:rPr>
        <w:t>E. 5.1</w:t>
      </w:r>
    </w:p>
    <w:p>
      <w:r>
        <w:t>Gemäss Art. 51 Abs. 1 AsylG werden – unter dem Titel Familienasyl – Ehegatten und minderjährige Kinder von Flüchtlingen ihrerseits als</w:t>
      </w:r>
    </w:p>
    <w:p>
      <w:r>
        <w:t>D-4239/2025 Seite 5 Flüchtlinge anerkannt und erhalten Asyl in der Schweiz, wenn keine beson- deren Umstände dagegensprechen. Mit dem Familienasyl erhalten die An- gehörigen der Kernfamilie die gleiche Rechtsstellung und damit auch den- selben flüchtlingsrechtlichen Schutz wie der anerkannte Flüchtling.</w:t>
      </w:r>
    </w:p>
    <w:p>
      <w:r>
        <w:rPr>
          <w:b/>
        </w:rPr>
        <w:t>E. 5.2</w:t>
      </w:r>
    </w:p>
    <w:p>
      <w:r>
        <w:t>In der angefochtenen Verfügung wird im Ergebnis korrekt und abge- stützt auf die geltende Praxis dargelegt, weshalb B._______ die Voraus- setzungen für das Familienasyl nicht erfüllt. Die Beschwerde führt zu keiner anderen Betrachtungsweise. Aus der Bestimmung von Art. 51 Abs. 1 AsylG ergibt sich klar, dass einzubeziehende Kinder minderjährig sein müssen. Der Kreis der Begünstigten des Familienasyls wurde vom Gesetzgeber im Rahmen der am 1. Februar 2014 in Kraft getretenen Asylgesetzrevision vom 14. Dezember 2012 abschliessend auf die Kernfamilie beschränkt. „Andere nahe Angehörige“ (vgl. aArt. 51 Abs. 2 AsylG) von in der Schweiz lebenden Flüchtlingen – darunter auch volljährige Kinder – sind seither un- besehen allfälliger besonderer Gründe nicht mehr anspruchsberechtigt (vgl. BVGE 2020 VI/7 E. 2.1 ff.; 2014/41 E. 6.4 und E. 6.6; 2015/29 E. 3.2). Massgebend für die Beurteilung der Voraussetzung der Minderjährigkeit des einzubeziehenden Kindes ist gemäss geltender Rechtspraxis der Zeit- punkt der Einreichung des Gesuchs um Familienasyl (vgl. etwa Urteile des BVGer D-4761/2023 vom 15. September 2023 S. 4, E-3471/2022 vom 4. September 2023 E. 7.2 und E-3114/2023 vom 12. Juni 2023 E. 6.1). Vor- liegend ist dies der 7. Februar 2025. Entgegen der in der Beschwerde ver- tretenen Auffassung ist somit weder auf den Zeitpunkt der Einreichung des Asylgesuchs des Beschwerdeführers (10. November 2022) noch auf den- jenigen der Einreise und Asylgesuchstellung von B._______ (12. Septem- ber 2024 [{…} vor Erreichen der Volljährigkeit]) abzustellen. Ebenfalls nicht gefolgt werden kann der Ansicht des Beschwerdeführers, dass in seiner Asylgesuchstellung (implizit) auch bereits ein Gesuch um Familienasyl zu erblicken gewesen wäre, da er schon damals den Wunsch gehabt habe, seine Familie – im Falle der Asylgewährung – nachzuziehen. Wie gesagt, ist der Zeitpunkt der Asylgesuchstellung der Referenzperson für das Fami- lienasyl nicht von Relevanz (vgl. explizit Urteil des BVGer E-3114/2023 vom 12. Juni 2023 E. 6.1), und kann folglich im betreffenden Zusammen- hang auch keine Rückwirkung entfalten. Schliesslich liegen bezüglich des Vorwurfs des Beschwerdeführers, sein Asylverfahren habe lange gedauert, keine Hinweise vor, dass das SEM mit der Behandlung des Asylgesuchs des Beschwerdeführers zugewartet hätte, um den Einbezug von Familien- mitgliedern in die Flüchtlingseigenschaft des Beschwerdeführers zu ver- hindern. B._______ war im massgeblichen Zeitpunkt der Einreichung des Gesuchs um Familienasyl durch den Beschwerdeführer (7. Februar 2025)</w:t>
      </w:r>
    </w:p>
    <w:p>
      <w:r>
        <w:t>D-4239/2025 Seite 6 unbestrittenermassen volljährig und kann somit mangels gesetzlicher Grundlage nicht in die Flüchtlingseigenschaft des Beschwerdeführers ein- bezogen werden.</w:t>
      </w:r>
    </w:p>
    <w:p>
      <w:r>
        <w:rPr>
          <w:b/>
        </w:rPr>
        <w:t>E. 5.3</w:t>
      </w:r>
    </w:p>
    <w:p>
      <w:r>
        <w:t>Zusammenfassend ist festzustellen, dass die Voraussetzungen von Art. 51 Abs. 1 AsylG nicht erfüllt sind. Das SEM hat das Gesuch des Be- schwerdeführers um Einbezug seines volljährigen Sohnes B._______ in seine Flüchtlingseigenschaft und das Asyl zu Recht abgelehnt.</w:t>
      </w:r>
    </w:p>
    <w:p>
      <w:r>
        <w:rPr>
          <w:b/>
        </w:rPr>
        <w:t>E. 6</w:t>
      </w:r>
    </w:p>
    <w:p>
      <w:r>
        <w:t>Aus diesen Erwägungen ergibt sich, dass die angefochtene Verfügung Bundesrecht nicht verletzt, den rechtserheblichen Sachverhalt richtig so- wie vollständig feststellt und auch sonst nicht zu beanstanden ist (Art. 106 Abs. 1 AsylG). Die Beschwerde ist abzuweisen.</w:t>
      </w:r>
    </w:p>
    <w:p>
      <w:r>
        <w:rPr>
          <w:b/>
        </w:rPr>
        <w:t>E. 7</w:t>
      </w:r>
    </w:p>
    <w:p>
      <w:r>
        <w:t>Mit dem vorliegenden Urteil ist das Gesuch um Verzicht auf die Erhebung eines Kostenvorschusses gegenstandslos geworden.</w:t>
      </w:r>
    </w:p>
    <w:p>
      <w:r>
        <w:rPr>
          <w:b/>
        </w:rPr>
        <w:t>E. 8.1</w:t>
      </w:r>
    </w:p>
    <w:p>
      <w:r>
        <w:t>Das Gesuch um Gewährung der unentgeltlichen Prozessführung ist ungeachtet der geltend gemachten Bedürftigkeit des Beschwerdeführers abzuweisen, da sich die Begehren entsprechend den vorstehenden Erwä- gungen von vornherein als aussichtslos im Sinne von Art. 65 Abs. 1 VwVG erwiesen haben. Folglich ist auch das Gesuch um amtliche Rechtsverbei- ständung abzuweisen.</w:t>
      </w:r>
    </w:p>
    <w:p>
      <w:r>
        <w:rPr>
          <w:b/>
        </w:rPr>
        <w:t>E. 8.2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D-4239/2025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