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D-4239/2017 vom 3. August 2017</w:t>
      </w:r>
    </w:p>
    <w:p>
      <w:r>
        <w:t>Bundesverwaltungsgericht, 2017-08-03, DE</w:t>
      </w:r>
    </w:p>
    <w:p>
      <w:r>
        <w:rPr>
          <w:b/>
        </w:rPr>
        <w:t xml:space="preserve">Quelle: </w:t>
      </w:r>
      <w:r>
        <w:t>https://mcp.opencaselaw.ch/entscheid/bvger_D-4239_2017</w:t>
      </w:r>
    </w:p>
    <w:p>
      <w:r>
        <w:t>FR: TAF D-4239/2017 du 3 août 2017</w:t>
      </w:r>
    </w:p>
    <w:p>
      <w:r>
        <w:t>IT: TAF D-4239/2017 del 3 agosto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Beschwerdeführerinnen sind als Verfügungsadressaten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Ein Antragsteller, der während der Prüfung seines Antrags in einem anderen Mitgliedstaat einen Antrag gestellt hat, ist durch den zuständigen Mitgliedstaat wieder aufzunehmen (Art. 18 Abs. 1 Bst. b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Bundesverwaltungsgericht ist in BVGE 2015/4 ausführlich auf den Entscheid des EGMR (Tarakhel gegen die Schweiz vom 4. November 2014, grosse Kammer,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In Anbetracht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von Kindern nach Italien vornähmen, ohne zuvor von den italienischen Behörden eine individuelle Garantie erhalten zu haben, dass für eine kindsgerechte Unterbringung gesorgt sei und die Einheit der Familie gewahrt werde (vgl. BVGE 2015/4 E. 4.1 mit Hinweisen auf die entsprechenden Erwägungen des EGMR). Das Bundesverwaltungsgericht führte weiter aus, dass die einzuholenden individuellen Garantien einer kindsgerechten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(ebenda E. 4.3).</w:t>
      </w:r>
    </w:p>
    <w:p>
      <w:r>
        <w:rPr>
          <w:b/>
        </w:rPr>
        <w:t>E. 4.2</w:t>
      </w:r>
    </w:p>
    <w:p>
      <w:r>
        <w:t>In casu ist das Vorliegen einer genügenden Zusicherung zu bejahen. Dabei ist auf das relativ kürzlich ergangene Urteil des Bundesverwaltungsgerichts D-6358/2015 vom 7. April 2016 (als Referenzurteil publiziert) zu verweisen, das als Präzisierung von BVGE 2015/4 und als Koordinationsurteil zu verstehen ist. Aus dem Schreiben der italienischen Behörden vom 6. Juli 2017 geht hervor, dass die Beschwerdeführerinnen unter expliziter Namensnennung und Altersangabe als Familiengemeinschaft (nucleo familiare) betrachtet werden. Diese Angaben entsprechen den in BVGE 2015/4 E. 4.3 S. 78 explizit genannten Anforderungen an eine individuelle Zusicherung. Dieses Schreiben stellt somit eine gemäss dem Entscheid Tarakhel und BVGE 2015/4 geforderte Garantieerklärung der italienischen Behörden dar.</w:t>
      </w:r>
    </w:p>
    <w:p>
      <w:r>
        <w:rPr>
          <w:b/>
        </w:rPr>
        <w:t>E. 5.1</w:t>
      </w:r>
    </w:p>
    <w:p>
      <w:r>
        <w:t>Die Vorinstanz führt in der angefochtenen Verfügung aus, die italienischen Behörden hätten das Übernahmeersuchen gutgeheissen. Somit liege die Zuständigkeit für die Durchführung des Asyl- und Wegweisungsverfahrens bei Italien. In Italiens Asyl- und Aufnahmesystem gebe es keine systemischen Mängel. Konkrete Anhaltspunkte, dass sich Italien nicht an seine völkerrechtlichen Verpflichtungen halte und das Asyl- und Wegweisungsverfahren nicht korrekt durchführe, gebe es keine. Bei allfälligen gesundheitlichen Problemen könne sie sich an eine medizinische Institution in Italien wenden. Gründe für einen Selbsteintritt gebe es keine.</w:t>
      </w:r>
    </w:p>
    <w:p>
      <w:r>
        <w:rPr>
          <w:b/>
        </w:rPr>
        <w:t>E. 5.2</w:t>
      </w:r>
    </w:p>
    <w:p>
      <w:r>
        <w:t>Der Beschwerdeführerin wendet dagegen ein, der Gesundheitszustand ihres Kindes habe sich zwischenzeitlich merklich verschlechtert. Dieses leide an einer seltenen (...), welche die (...) angreife, und befinde sich deshalb aktuell in medizinischer Behandlung in der Schweiz. Sie selbst habe sich in der Schweiz (...) lassen müssen, die ihr stechende Schmerzen bereitet hätten. Ausserdem seien die Bedingungen in Italien generell sehr schlecht, weil es in Bezug auf rückzuführende Asylsuchende über viel zu wenige Aufnahmeplätze verfüge, weshalb diesbezüglich von systemischen Mängeln Italiens gesprochen werden müsse. Diese Einschätzung werde im Ergebnis dadurch bestärkt, als sie während ihres dreimonatigen Aufenthalts in Italien zusammen mit weiteren fünf Personen in einem engen Zimmer habe leben müssen, kaum jemals Milch geliefert worden sei und sie nur einmal medizinische Nothilfe in Anspruch habe nehmen dürfen.</w:t>
      </w:r>
    </w:p>
    <w:p>
      <w:r>
        <w:rPr>
          <w:b/>
        </w:rPr>
        <w:t>E. 5.3</w:t>
      </w:r>
    </w:p>
    <w:p>
      <w:r>
        <w:t>Das Bundesverwaltungsgericht gelangt im vorliegenden Fall zum Schluss, dass die Schlussfolgerungen der Vorinstanz weder in tatsächlicher noch in rechtlicher Hinsicht zu beanstanden sind.</w:t>
      </w:r>
    </w:p>
    <w:p>
      <w:r>
        <w:rPr>
          <w:b/>
        </w:rPr>
        <w:t>E. 5.3.1</w:t>
      </w:r>
    </w:p>
    <w:p>
      <w:r>
        <w:t>Die Vorinstanz ist in Anwendung von Art. 18 Abs. 1 Bst. b Dublin-III-VO zutreffend von der grundsätzlichen Zuständigkeit Italiens für die Durchführung des Asyl- und Wegweisungsverfahrens ausgegangen. Dies wird von der Beschwerdeführerin auch nicht bestritten.</w:t>
      </w:r>
    </w:p>
    <w:p>
      <w:r>
        <w:rPr>
          <w:b/>
        </w:rPr>
        <w:t>E. 5.3.2</w:t>
      </w:r>
    </w:p>
    <w:p>
      <w:r>
        <w:t>Die Beschwerdeführerin bringt vor, die bei ihrer Rückführung zu erwartenden Bedingungen seien generell sehr schlecht, da die Aufnahmekapazitäten Italien für rückzuführende Asylbewerber viel zu gering seien, weshalb von systemischen Mängeln in Italien gesprochen werden müsse.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Der Europäische Gerichtshof für Menschenrechte (EGMR) stellt in Bezug auf Italien keine systemischen Mängel an Unterstützung und Einrichtungen für Asylsuchende fest (vgl. Urteil EGMR vom 2. April 2013, Mohammed Hussein und andere gegen Niederlande, Nr. 27725/10, siehe zu Italien auch Urteil EGMR vom 30. Juni 2015 A.S. gegen Schweiz, Nr. 39350/13). Es liegen keine Anhaltspunkte dafür vor, dass Italien im vorliegenden Fall seine staatsvertraglichen Verpflichtungen missachten würde und die Beschwerdeführerinnen einer menschenunwürdigen oder erniedrigenden Behandlung ausgesetzt wären (Art. 3 EMRK). Es besteht somit kein Grund für eine Anwendung der Ermessensklauseln von Art. 3 Abs. 1 Dublin-III-VO und von Art. 17 Dublin-III-VO.</w:t>
      </w:r>
    </w:p>
    <w:p>
      <w:r>
        <w:rPr>
          <w:b/>
        </w:rPr>
        <w:t>E. 5.3.3</w:t>
      </w:r>
    </w:p>
    <w:p>
      <w:r>
        <w:t>Weiter bringt die Beschwerdeführerin medizinische Probleme vor, ohne diese durch ärztliche Berichte zu belegen. So befinde sich ihre Tochter derzeit wegen einer seltenen (...) in medizinischer Behandlung. Sie selbst habe sich wegen gravierender Schmerzen (...) lassen müssen. Da die vorerwähnten gesundheitlichen Leiden überdies erst nach der Anhörung durch das SEM (am 12. Juni 2017) aufgetreten seien, müsse von einer unvollständigen Feststellung des rechtserheblichen Sachverhalts ausgegangen werden. Diesbezüglich ist vorab festzuhalten, dass es der Beschwerdeführerin im Rahmen ihrer Mitwirkungspflicht oblegen hätte, die Vorinstanz rechtzeitig über Änderungen des Gesundheitszustands ihrer Tochter beziehungsweise ihrer selbst zu informieren, was sie indessen unterlassen hat. Bei dieser Sachlage konnte die Vorinstanz um entsprechende Änderungen der medizinischen Situation nicht wissen, weshalb sie auch der Vorwurf einer unvollständigen Sachverhaltsfeststellung nicht zu treffen vermag. Was die Berücksichtigung der geänderten medizinischen Situation auf Beschwerdeebene anbelangt, bleibt Folgendes anzumerken: Wie die italienischen Behörden in ihrem Rückübernahmeschreiben vom 6. Juli 2017 (vgl. act. A18/1) dargelegt haben, ist das SEM gehalten, ihnen spezielle gesundheitliche Probleme mindestens zehn Tage vor der geplanten Überstellung mitzuteilen und bei Bedarf durch entsprechende medizinische Unterlagen zu belegen (vgl. auch Art. 32 Dublin-III-VO). Es handelt sich hierbei freilich um eine Vollzugsmodalität, weshalb es genügt, wenn die entsprechenden Informationen durch das SEM den italienischen Behörden rechtzeitig vor der Überstellung zur Kenntnis gebracht werden. Unter eben diesem Vorbehalt steht einer Rücküberstellung der Beschwerdeführerinnen nach Italien aus medizinischer Sicht nichts entgegen. Zusätzlich ist festzuhalten, dass eine zwangsweise Rückweisung von Personen mit gesundheitlichen Problemen nur dann einen Verstoss gegen Art. 3 EMRK darstellt, wenn die betroffene Person sich in einem fortgeschrittenen oder terminalen Krankheitsstadium und bereits in Todesnähe befindet (BVGE 2011/9 E. 7). Aus den Schilderungen der Beschwerdeführerin geht solches nicht hervor, weshalb auch kein entsprechendes Überstellungshindernis besteht. In Italien wiederum stehen ausreichende medizinische Infrastrukturen zur Verfügung.</w:t>
      </w:r>
    </w:p>
    <w:p>
      <w:r>
        <w:rPr>
          <w:b/>
        </w:rPr>
        <w:t>E. 5.4</w:t>
      </w:r>
    </w:p>
    <w:p>
      <w:r>
        <w:t>Die Vorinstanz ist somit zutreffend von der Zuständigkeit Italiens ausgegangen und in Anwendung Art. 31a Abs. 1 Bst. b AsylG auf das Asylgesuch der Beschwerdeführerinnen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w:t>
      </w:r>
    </w:p>
    <w:p>
      <w:r>
        <w:t>Zusammenfassend verletzt die angefochtene Verfügung kein Bundesrecht und ist auch sonst nicht zu beanstanden (Art. 106 AsylG). Die Beschwerde ist abzuweisen. Mit dem Direktentscheid in der Sache ist auch das Gesuch um Verzicht auf die Erhebung eines Kostenvorschusses gegenstandslos geworden.</w:t>
      </w:r>
    </w:p>
    <w:p>
      <w:r>
        <w:rPr>
          <w:b/>
        </w:rPr>
        <w:t>E. 7</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Da ihr Begehren als aussichtslos zu gelten hat, kann auch dem Gesuch um Gewährung der unentgeltlichen Prozessführung nicht stattgegeben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