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D-4227/2020 vom 4. März 2021</w:t>
      </w:r>
    </w:p>
    <w:p>
      <w:r>
        <w:t>Bundesverwaltungsgericht, 2021-03-04, DE</w:t>
      </w:r>
    </w:p>
    <w:p>
      <w:r>
        <w:rPr>
          <w:b/>
        </w:rPr>
        <w:t xml:space="preserve">Quelle: </w:t>
      </w:r>
      <w:r>
        <w:t>https://mcp.opencaselaw.ch/entscheid/bvger_D-4227_2020</w:t>
      </w:r>
    </w:p>
    <w:p>
      <w:r>
        <w:t>FR: TAF D-4227/2020 du 4 mars 2021</w:t>
      </w:r>
    </w:p>
    <w:p>
      <w:r>
        <w:t>IT: TAF D-4227/2020 del 4 marzo 2021</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2.1</w:t>
      </w:r>
    </w:p>
    <w:p>
      <w:r>
        <w:t>Für das vorliegende Verfahren gilt das bisherige Recht (vgl. Abs. 1 der Übergangsbestimmungen zur Änderung des AsylG vom 25. September 2015).</w:t>
      </w:r>
    </w:p>
    <w:p>
      <w:r>
        <w:rPr>
          <w:b/>
        </w:rPr>
        <w:t>E. 2.2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2.3</w:t>
      </w:r>
    </w:p>
    <w:p>
      <w:r>
        <w:t>Das Bundesverwaltungsgericht überprüft die angefochtene Verfügung in Asylsachen auf Verletzung von Bundesrecht sowie unrichtige oder unvollständige Feststellung des rechtserheblichen Sachverhalts hin (Art. 106 Abs. 1 AsylG), im Bereich des Ausländerrechts zudem auch auf Unangemessenheit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führte zur Begründung ihres ablehnenden Entscheids im Wesentlichen an, die Vorbringen des Beschwerdeführers (Unterstützungsleistungen einzelner seiner Familienangehörigen zugunsten der LTTE und einer sich daraus ergebenden Reflexverfolgung) seien offensichtlich widersprüchlich und somit unglaubhaft.</w:t>
      </w:r>
    </w:p>
    <w:p>
      <w:r>
        <w:rPr>
          <w:b/>
        </w:rPr>
        <w:t>E. 5</w:t>
      </w:r>
    </w:p>
    <w:p>
      <w:r>
        <w:t>In der Beschwerdeschrift wird dem im Wesentlichen entgegengehalten, bei der Glaubhaftigkeitsprüfung des SEM sei den kognitiven Beeinträchtigungen und dem psychischen Zustand des Beschwerdeführers nicht angemessen Rechnung getragen worden. Unter Berücksichtigung seiner kognitiven Einschränkungen und seines psychischen Gesundheitszustands seien seine Vorbringen als glaubhaft zu erachten.</w:t>
      </w:r>
    </w:p>
    <w:p>
      <w:r>
        <w:rPr>
          <w:b/>
        </w:rPr>
        <w:t>E. 6.1</w:t>
      </w:r>
    </w:p>
    <w:p>
      <w:r>
        <w:t>Vorliegend gelangt das Bundesverwaltungsgericht übereinstimmend mit dem SEM zum Schluss, dass die Asylvorbringen des Beschwerdeführers aufgrund wesentlicher Ungereimtheiten in Kernbereichen seiner Aussagen nicht geglaubt werden können. So hat der Beschwerdeführer - dies ist in Übereinstimmung mit den vor-instanzlichen Erwägungen festzustellen - widersprüchliche Angaben zu den angeblichen Verbindungen seiner Familienangehörigen mit den LTTE gemacht. Im Gegensatz zu seinen Aussagen in der Summarbefragung, dass einer seiner Brüder (...) bei den LTTE und ein anderer Bruder Mitglied bei den «(...)» gewesen sei (vgl. act. A7, Ziff. 7.02), liess er in der Anhörung verlauten, nicht sein Bruder, sondern seine Schwester sei ein Mitglied der «(...)» gewesen und ein anderer Bruder habe dem (...) der LTTE angehört (vgl. act. A23, F116-125). Gleichermassen widersprüchlich äusserte sich der Beschwerdeführer zu den eigentlichen Tätigkeiten dieses Bruders beim (...) der LTTE. In der Anhörung gab er hierzu zunächst zu Protokoll, er könne sich angesichts seines damaligen jungen Alters nicht mehr an die Tätigkeiten seines Bruders im (...) der LTTE erinnern (vgl. act. A23, F118), während er im weiteren Verlauf der Anhörung im Widerspruch dazu erklärte, er habe wegen seines Bruders über (...) verfügt, die er den Behörden indes absichtlich verschwiegen habe, um damit später seine Freilassung zu bewirken (vgl. act. A23, F156). Aufgrund der widersprüchlichen und mithin unglaubhaften Aussagen des Beschwerdeführers zu den Verbindungen seiner Familienangehörigen mit den LTTE ist auch die Glaubhaftigkeit seiner daraus angeblich entstandenen Reflexverfolgung durch die sri-lankischen Behörden bereits als sehr eingeschränkt zu betrachten. Bezeichnenderweise blieben seine diesbezüglichen Schilderungen denn auch durchwegs substanzlos. Beispielhaft hierzu anzuführen sind seine Ausführungen zu den angeblich erlebten Folterungen. Der Beschwerdeführer zählte zwar auf Rückfrage hin verschiedene Formen der Gewaltanwendung auf (Verbrennungen mit Kerzenwachs, Faustschläge und Beintritte, Nadelstiche), liess aber klar umrissene Aussagen, durch welche die jeweiligen Interaktionen und seine eigene Teilnahme am Geschehen, wie insbesondere körperliche Empfindungen und psychische Vorgänge, widerspiegelt worden wären, gänzlich vermissen (vgl. act. A23, F137 ff.). Folglich ist hinlänglich auszuschliessen, dass der Beschwerdeführer in der behaupteten Weise im Jahr 2016 gefangen gehalten und der Folter ausgesetzt wurde. Im Weiteren mutet es unplausibel an, dass der Beschwerdeführer erst 2015 und 2016, mithin rund sechs beziehungsweise sieben Jahre nach Kriegsende wegen der angeblichen familiären Verbindungen zu den LTTE in den Fokus der sri-lankischen Behörden geraten sein soll. Hätten die sri-lankischen Behörden die angeblichen familiären Verbindungen des Beschwerdeführers zu den LTTE tatsächlich als problematisch erachtet, dann hätten sie sich mit Sicherheit nicht erst im Jahr 2015 beziehungsweise 2016, sondern bereits früher für ihn interessiert. Hinzu kommt, dass der Beschwerdeführer mit seinem eigenen Reisepass über den Flughafen Colombo ausgereist ist (SEM-Akten, A7, Ziff. 5.01; 5.02). Daher ist nicht davon auszugehen, dass sein Name auf der «Stop-List» der Behörden am Flughafen Colombo aufgeführt ist und er zum Zeitpunkt seiner Ausreise von den sri-lankischen Behörden gesucht wurde. Mithin ist seine Fluchtgeschichte auch aus diesem Grund als unglaubhaft zu betrachten (vgl. zur Situation am Flughafen Colombo und zur Ausreise mit eigenen Dokumenten: Urteile des BVGer E-1866/2015 vom 15. Juli 2016 E. 8.2 [als Referenzurteil publiziert] und statt vieler D-1790/2020 vom 2. September 2020 E. 5.1). Das SEM hat im Ergebnis somit hinreichend und nachvollziehbar sowie zutreffend begründet, dass sich aufgrund des gesamten Aussageverhaltens des Beschwerdeführers das ausgeprägte Bild einer konstruierten Verfolgungssituation ergibt. Angesichts der aufgezeigten Sachlage erübrigt es sich, auf weitere Einwendungen in der Beschwerde einzugehen, da sie nicht geeignet sind, eine andere Einschätzung in der Frage der Glaubhaftmachung eines unter dem Blickwinkel von Art. 3 AsylG relevanten Sachverhalts herbeizuführen. Gemäss den auf Beschwerdeeben eingereichten ärztlichen Berichten vom 18. März 2020 sowie vom 2. September 2020 leidet der Beschwerdeführer unter einer komplexen, chronischen Posttraumatischen Belastungsstörung mit dissoziativen Symptomen (...) sowie an einer rezidivierenden depressiven Störung, gegenwärtig schwere Episode, ohne psychotische Symptome (...). Indessen vermag auch der psychisch labile Gesundheitszustand des Beschwerdeführers die gravierenden Unterschiede bei der Darstellung seiner Fluchtgründe nicht zu erklären. Zwar ist anzuerkennen, dass kognitive Schwierigkeiten sowie psychische Beeinträchtigungen das Aussageverhalten von Menschen beeinflussen können. Entgegen der in der Beschwerdeschrift vertretenen Auffassung kann jedoch auch von einer Person mit den vom Beschwerdeführer geschilderten Einschränkungen erwartet werden, dass sie die Grundzüge ihrer Fluchtgeschichte in den wesentlichen Teilen und hinsichtlich der zentralen Punkte kohärent und ohne erhebliche Widersprüche schildert, insbesondere da in den ärztlichen Berichten betreffend den Beschwerdeführer festgehalten wurde, dass seine Konzentrations- und Merkfähigkeit im Gespräch unauffällig seien, keine Hinweise auf klinisch relevante Gedächtnisstörungen vorlägen, das formales Denken kohärent sei und auch keine Wahn-, Wahrnehmungs- oder Ich-Störungen bestünden. Im Weiteren wurde seiner psychischen Befindlichkeit Rechnung getragen und die Anhörung abgebrochen. Anlässlich der fortgesetzten Anhörung bestätigte der Beschwerdeführer, nach erfolgter Rückübersetzung, die Richtigkeit und Vollständigkeit seiner Aussagen. Allein aufgrund der Tatsache, dass der Beschwerdeführer mit Eingabe vom 4. September 2020 einen ärztlichen Bericht, datiert vom 2. September 2020, nachreichte, war das SEM nicht gehalten, in seiner Vernehmlassung vom 25. November 2020 eine weitere Würdigung der in diesem Bericht erwähnten medizinischen Befunde (PTBS, Depressivität) vorzunehmen, da diese bereits Gegenstand des ärztlichen Berichts vom 18. März 2020 und mithin der vorinstanzlichen Verfügung waren und im ärztlichen Bericht vom 2. September 2020 lediglich konkretisiert werden. Dem SEM ist somit - entgegen der Replik (vgl. daselbst, S. 3) - keine Gehörsverletzung vorzuwerfen. In diesem Zusammenhang ist darauf hinzuweisen, dass es sich bei dem vom SEM in der Vernehmlassung gemachten Erwähnung eines Arztberichts vom 2. März 2020 um ein redaktionelles Versehen handelt, da das SEM mit dem Aktenstück «38/5» zweifelsfrei den dem Beschwerdeführer bereits bekannten ärztlichen Bericht vom 18. März 2020 meint, der gemäss Eingangsstempel am 20. März 2020 beim SEM eintraf. Bei dieser Sachlage ist der Antrag in der Replik (vgl. daselbst, S. 2), es sei der ärztliche Bericht vom 2. März 2020 zu edieren, abzuweisen. Zusammenfassend ist somit festzuhalten, dass es dem Beschwerdeführer nicht gelingt, glaubhaft zu machen, dass er wegen der angeblichen Verbindungen seiner Familienangehörigen zu den LTTE in den Fokus der sri-lankischen Behörden geraten sei. Im Rahmen einer Gesamtbetrachtung - und unter Berücksichtigung seines psychischen Gesundheitszustands - überwiegen die Elemente, welche gegen die Glaubhaftigkeit seiner Vorbringen sprechen. Entsprechend ist nicht davon auszugehen, dass er im Zeitpunkt der Ausreise im Visier der sri-lankischen Sicherheitskräfte gestanden hätte.</w:t>
      </w:r>
    </w:p>
    <w:p>
      <w:r>
        <w:rPr>
          <w:b/>
        </w:rPr>
        <w:t>E. 6.2</w:t>
      </w:r>
    </w:p>
    <w:p>
      <w:r>
        <w:t>Vor dem Hintergrund der unglaubhaften Ausreisegründe des Beschwerdeführers ist nicht von einem Risikoprofil im Sinne des Referenzurteils des Bundesverwaltungsgerichts E-1866/2015 vom 15. Juli 2016 auszugehen. Dem Beschwerdeführer war es möglich, vor Ort zu leben, die Schule abzuschliessen und zu arbeiten. Die Ausführungen zu den Beziehungen seiner Familie zu den LTTE haben sich als unglaubhaft erwiesen und kein Verfolgungsinteresse seitens der sri-lankischen Behörden an seiner Person ausgelöst. Es bestehen keine hinreichenden Anhaltspunkte dafür, dass dem Beschwerdeführer bei einer Rückkehr nach Sri Lanka persönlich ernsthafte Nachteile im Sinne von Art. 3 AsylG drohen könnten.</w:t>
      </w:r>
    </w:p>
    <w:p>
      <w:r>
        <w:rPr>
          <w:b/>
        </w:rPr>
        <w:t>E. 6.3</w:t>
      </w:r>
    </w:p>
    <w:p>
      <w:r>
        <w:t>Seit Einreichung des Asylgesuchs durch den Beschwerdeführer war die Lage in Sri Lanka verschiedenen Veränderungen unterworfen, wobei namentlich politische Spannungen, die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Aktivistinnen und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17. Juni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Ein solcher Bezug ist vorliegend - auch unter Berücksichtigung der Neuwahlen des Parlaments vom 5. August 2020 -, wie sich aus den vorstehenden Erwägungen ergibt, nicht ersichtlich.</w:t>
      </w:r>
    </w:p>
    <w:p>
      <w:r>
        <w:rPr>
          <w:b/>
        </w:rPr>
        <w:t>E. 6.4</w:t>
      </w:r>
    </w:p>
    <w:p>
      <w:r>
        <w:t>Damit ist nach Würdigung der gesamten Umstände als Ergebnis festzuhalten, dass der Beschwerdeführer die Flüchtlingseigenschaft im Sinne von Art. 3 AsylG nicht erfüllt. Folgerichtig bleibt ihm die Gewährung von Asyl durch die schweizerischen Behörden versagt (Art. 2 Abs. 1 und Art. 49 AsylG). Die Ablehnung des entsprechenden Gesuchs durch die Vorinstanz ist zu bestätigen. 7.Gemäss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obenstehenden Ausführungen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Vorliegend sprechen auch keine individuellen Gründe gegen die Zumutbarkeit des Wegweisungsvollzugs. Der Beschwerdeführer ist heute (...) Jahre alt, stammt ursprünglich aus B._______ (Distrikt C._______) und hat seinen Angaben gemäss sein ganzes Leben in der Nordprovinz gelebt, davon acht Jahre im Vanni-Gebiet. Ein Vollzug in seine Herkunftsregion ist im Lichte der Rechtsprechung grundsätzlich zumutbar. Der Beschwerdeführer verfügt über solide Schulbildung und Berufserfahrung. Mit seiner Mutter, (...) Schwestern und einem Bruder verfügt er im Heimatland zudem über ein soziales Beziehungsnetz und über eine Wohnmöglichkeit. Im Weiteren besitzt seine Familie Ländereien, Rinder und lebt finanziell ohne Schwierigkeiten. Es ist somit davon auszugehen, dass sich der Beschwerdeführer in seiner Heimat beruflich wieder integrieren und auf ein tragfähiges Beziehungsnetz zurückgreifen kann, welches ihn nach einer Rückkehr im Bedarfsfall unterstützen kann. Der psychische Gesundheitszustand des Beschwerdeführers erreicht nicht ein Ausmass, welches den Vollzug der Wegweisung unzumutbar erscheinen liesse. Sollte eine weitere oder erneute Behandlung der gesundheitlichen Probleme erforderlich sein, ist davon auszugehen, dass eine solche auch in Sri Lanka erhältlich wäre. (vgl. statt vieler Urteil des BVGer E-7137/2018 vom 23. Januar 2019 E. 12.3). Hinsichtlich einer allfälligen Gefahr der Suizidalität bei einem zwangsweisen Wegweisungsvollzug ist darauf hinzuweisen, dass vom Vollzug der Wegweisung gemäss konstanter Rechtsprechung nicht Abstand zu nehmen ist, solange Massnahmen zur Verhütung der Umsetzung einer Suiziddrohung getroffen werden können (vgl. hierzu bspw. Urteil des BVGer D-2088/2018 vom 30. April 2018 E. 6.2, vgl. auch Urteil des BGer 2C_856/2015 vom 10. Oktober 2015 E. 3.2.1).</w:t>
      </w:r>
    </w:p>
    <w:p>
      <w:r>
        <w:rPr>
          <w:b/>
        </w:rPr>
        <w:t>E. 8.4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w:t>
      </w:r>
    </w:p>
    <w:p>
      <w:r>
        <w:rPr>
          <w:b/>
        </w:rPr>
        <w:t>E. 8.5</w:t>
      </w:r>
    </w:p>
    <w:p>
      <w:r>
        <w:t>Die Vorinstanz hat den Vollzug demnach zu Recht als zulässig, zumutbar und möglich erachtet. Damit fällt die Anordnung der vorläufigen Aufnahme ausser Betracht (Art. 83 Abs. 1-4 AIG). 9.Aus diesen Erwägungen ergibt sich, dass die angefochtene Verfügung Bundesrecht nicht verletzt und auch sonst nicht zu beanstanden ist (Art. 106 AsylG und Art. 49 VwVG). Zur Rückweisung der Sache an die Vorinstanz besteht nach dem Gesagten kein Anlass. Die Beschwerde ist abzuweisen.</w:t>
      </w:r>
    </w:p>
    <w:p>
      <w:r>
        <w:rPr>
          <w:b/>
        </w:rPr>
        <w:t>E. 10</w:t>
      </w:r>
    </w:p>
    <w:p>
      <w:r>
        <w:t>Bei diesem Ausgang des Verfahrens wären die Kosten dem Beschwerdeführer aufzuerlegen (Art. 63 Abs. 1 VwVG). Das mit der Beschwerde gestellte Gesuch um Gewährung der unentgeltlichen Prozessführung wurde jedoch mit Zwischenverfügung vom 13. November 2020 gutgeheissen, weshalb keine Verfahrenskosten aufzuerlegen sind.</w:t>
      </w:r>
    </w:p>
    <w:p>
      <w:r>
        <w:rPr>
          <w:b/>
        </w:rPr>
        <w:t>E. 11</w:t>
      </w:r>
    </w:p>
    <w:p>
      <w:r>
        <w:t>Der amtliche Rechtsbeistand hat mit der Eingabe vom 4. Dezember 2020 eine aktualisierte Honorarnote zu den Akten gereicht, welche einen Vertretungsaufwand von 16 Stunden zu einem Stundenansatz von Fr. 200.- ausweist. Der zeitliche Vertretungsaufwand erscheint angemessen. Indessen ist der Stundenansatz unter Hinweis auf die Zwischenverfügung vom 13. November 2020 auf Fr. 150.- festzusetzen. Spesenpauschalen werden praxisgemäss nicht vergütet. Das amtliche Honorar für den amtlich eingesetzten Rechtsvertreter beträgt somit insgesamt Fr. 2'400.- (nicht mehrwertsteuerpflichtig)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