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D-4221/2024 vom 25. Februar 2026</w:t>
      </w:r>
    </w:p>
    <w:p>
      <w:r>
        <w:t>Bundesverwaltungsgericht, 2026-02-25, DE</w:t>
      </w:r>
    </w:p>
    <w:p>
      <w:r>
        <w:rPr>
          <w:b/>
        </w:rPr>
        <w:t xml:space="preserve">Quelle: </w:t>
      </w:r>
      <w:r>
        <w:t>https://mcp.opencaselaw.ch/entscheid/bvger_D-4221_2024</w:t>
      </w:r>
    </w:p>
    <w:p>
      <w:r>
        <w:t>FR: TAF D-4221/2024 du 25 février 2026</w:t>
      </w:r>
    </w:p>
    <w:p>
      <w:r>
        <w:t>IT: TAF D-4221/2024 del 25 febbraio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2 AsylG, Art. 48 Abs. 1 und 52 Abs. 1 VwVG).</w:t>
      </w:r>
    </w:p>
    <w:p>
      <w:r>
        <w:rPr>
          <w:b/>
        </w:rPr>
        <w:t>E. 2</w:t>
      </w:r>
    </w:p>
    <w:p>
      <w:r>
        <w:t>In der Beschwerde wird beantragt, die angefochtene Verfügung sei aufzuheben, soweit sie "die Wegweisung betrifft". Die Begründung bezieht sich aber ausschliesslich den Vollzug der Wegweisung, und es wird auch explizit erwähnt, dass nur der Vollzug angefochten werde. Angesichts dessen ist davon auszugehen, dass sich die vorliegende Beschwerde ausschliesslich gegen den von der Vorinstanz angeordneten Wegweisungsvollzug (Dispositivziffern 4 und 5 der angefochtenen Verfügung) richtet. Die Dispositivziffern 1 bis 3 sind demnach mangels Anfechtung in Rechtskraft erwachsen und bilden nicht Gegenstand des vorliegenden Beschwerdeverfahrens.</w:t>
      </w:r>
    </w:p>
    <w:p>
      <w:r>
        <w:rPr>
          <w:b/>
        </w:rPr>
        <w:t>E. 3</w:t>
      </w:r>
    </w:p>
    <w:p>
      <w:r>
        <w:t>Die Kognition des Bundesverwaltungsgerichts und die zulässigen Rügen richten sich im Bereich des Ausländerrechts nach Art. 49 VwVG (vgl. BVGE 2014/26 E. 5).</w:t>
      </w:r>
    </w:p>
    <w:p>
      <w:r>
        <w:rPr>
          <w:b/>
        </w:rPr>
        <w:t>E. 4.1</w:t>
      </w:r>
    </w:p>
    <w:p>
      <w:r>
        <w:t>In der Beschwerde wird geltend gemacht, das SEM habe den rechtserheblichen Sachverhalt unrichtig respektive unvollständig festgestellt und eine Verletzung des Untersuchungsgrundsatzes gerügt. Diese formelle Rüge ist vorab zu beurteilen, da sie gegebenenfalls geeignet ist, eine Kassation der vorinstanzlichen Verfügung zu bewirken (vgl. BVGE 2013/34 E. 4.2; Kölz/Häner/Bertschi/Bundi, Verwaltungsverfahren und Verwaltungsrechtspflege des Bundes, 4. Aufl. 2025, Rz. 1043ff. m.w.H.).</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Auer/Müller/Schindler [Hrsg.], Kommentar VwVG, 2. Aufl. 2019, Art. 49 N. 29).</w:t>
      </w:r>
    </w:p>
    <w:p>
      <w:r>
        <w:rPr>
          <w:b/>
        </w:rPr>
        <w:t>E. 4.3</w:t>
      </w:r>
    </w:p>
    <w:p>
      <w:r>
        <w:t>In formeller Hinsicht wird gerügt, das SEM habe den Gesundheitszustand des Beschwerdeführers in Hinblick auf eine Rückführung nach Guinea und die Begleitung bei der Wiedereingliederung durch den Verein rocCONAKRY nicht genügend berücksichtigt. Es habe in seiner Verfügung weder seinen stationären Aufenthalt in einer jugendpsychiatrischen Einrichtung noch die dabei gestellte Diagnose berücksichtigt. Ebenso fehlten in der vom SEM erwähnten Zusicherung von rocCONAKRY Informationen über die Möglichkeiten, bei einer Rückkehr eine individuelle psychiatrische Betreuung zu erhalten.</w:t>
      </w:r>
    </w:p>
    <w:p>
      <w:r>
        <w:rPr>
          <w:b/>
        </w:rPr>
        <w:t>E. 4.4.1</w:t>
      </w:r>
    </w:p>
    <w:p>
      <w:r>
        <w:t>Gemäss Rechtsprechung des Bundesverwaltungsgerichts verpflichten Art. 3 und Art. 22 des Übereinkommens über die Rechte des Kindes vom 20. November 1989 (Kinderrechtskonvention, KRK, SR 0.107) die asylrechtlichen Behörden, das Kindeswohl im Rahmen der Prüfung der Zumutbarkeit des Wegweisungsvollzugs als gewichtigen Aspekt zu berücksichtigen. Das SEM ist bezüglich unbegleiteter minderjähriger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diesen dem Kindeswohl nicht entspricht, ist weiter abzuklären, ob das Kind im Heimatstaat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Auch gemäss Art. 69 Abs. 4 AIG (SR 142.20) hat das SEM vor der Ausschaffung einer unbegleiteten minderjährigen Person sicherzustellen, dass diese im Rückkehrstaat einem Familienmitglied, einem Vormund oder einer Aufnahmeeinrichtung übergeben werden kann, welche den Schutz des Kindes gewährleistet.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 Entscheidungen und Mitteilungen der Schweizerischen Asylrekurskommission [EMARK] 1997 Nr. 23 E. 5, 1998 Nr. 13 E. 5e/bb und 2006 Nr. 24 E. 6.2.4, bestätigt in BVGE 2021 VI/3).</w:t>
      </w:r>
    </w:p>
    <w:p>
      <w:r>
        <w:rPr>
          <w:b/>
        </w:rPr>
        <w:t>E. 4.4.2</w:t>
      </w:r>
    </w:p>
    <w:p>
      <w:r>
        <w:t>Eine Verletzung der Mitwirkungspflicht durch die minderjährige Person entbindet das SEM grundsätzlich nicht von dieser Abklärungspflicht. Nur in Ausnahmefällen, in welchen eine Abklärung durch die Mitwirkungspflichtverletzung vollkommen verunmöglicht wird - beispielsweise bei gravierenden Widersprüchen in Bezug auf Nationalität und Herkunft der minderjährigen Person, so dass weder Abklärungen betreffend die familiäre Situation möglich sind noch eine geeignete Institution gesucht werden kann - erlischt die behördliche Abklärungspflicht (vgl. BVGE 2021 VI/3 E. 11.5.2 m.w.H.).</w:t>
      </w:r>
    </w:p>
    <w:p>
      <w:r>
        <w:rPr>
          <w:b/>
        </w:rPr>
        <w:t>E. 4.5.1</w:t>
      </w:r>
    </w:p>
    <w:p>
      <w:r>
        <w:t>Die Vorinstanz hat in der angefochtenen Verfügung die Minderjährigkeit des Beschwerdeführers als glaubhaft erachtet (vgl. SEM-Akte A32 Ziff. III, Nr. 2, S. 5). Die Tatsache, dass er ein unbegleiteter minderjähriger Asylsuchender ist, hat zur Folge, dass erhöhte Anforderungen an die Zumutbarkeit des Wegweisungsvollzugs zu stellen und diese von Amtes wegen zu prüfen sind (vgl. BVGE 2015/30 E. 7.2; Urteil des BVGer D-4320/2024 vom 2. Februar 2026 E. 6.6.1 m.w.H.). Die Vorinstanz ist somit verpflichtet, von Amtes wegen konkret abzuklären, ob der Beschwerdeführer effektiv bei einem Familienmitglied beziehungsweise - wenn dies nicht möglich oder mit dem Kindeswohl nicht vereinbar ist - anderweitig untergebracht und betreut werden kann.</w:t>
      </w:r>
    </w:p>
    <w:p>
      <w:r>
        <w:rPr>
          <w:b/>
        </w:rPr>
        <w:t>E. 4.5.2</w:t>
      </w:r>
    </w:p>
    <w:p>
      <w:r>
        <w:t>Das SEM stützt sich bei der Bejahung der Zumutbarkeit in der angefochtenen Verfügung massgeblich auf die Zusammenarbeit mit dem Verein rocCONAKRY ab. Dieser übernehme vor Ort die Betreuung von unbegleiteten Minderjährigen, welche aus der Schweiz nach Guinea zurückkehrten. Mit dem Ziel einer erfolgreichen Re-Integration betreue der Verein die Minderjährigen bei der Rückkehr, organisiere die Familienvereinigung und bringe sie falls nötig im Waisenhaus des Vereins unter. Zudem leiste rocCONAKRY Unterstützung beim Zugang zu Ausbildung und Erwerbstätigkeit. Diese Zusammenarbeit gründe auf einem Vertrag zwischen dem SEM und rocCONAKRY vom 19. Oktober 2021. Das SEM verweist dabei auf ein in den Akten liegendes Formular, welches die im vorliegenden Fall wesentlichen Bestimmungen aufführe und eine individuelle Zusicherung beinhalte, den Beschwerdeführer nach seiner Rückkehr nach Guinea aufzunehmen, zu betreuen und ihn bei der Wiedervereinigung mit seiner Familie zu unterstützen (vgl. SEM-Akte A32 Ziff. III Nr. 2 S.5 f. mit Verweis auf SEM-Akte A23). Auch in seiner Vernehmlassung verweist das SEM insbesondere auf die von rocCONAKRY gemachte Zusage, den Beschwerdeführer nach seiner Rückkehr nach Guinea zu betreuen und zu unterstützen.</w:t>
      </w:r>
    </w:p>
    <w:p>
      <w:r>
        <w:rPr>
          <w:b/>
        </w:rPr>
        <w:t>E. 4.5.3</w:t>
      </w:r>
    </w:p>
    <w:p>
      <w:r>
        <w:t>Das Bundesverwaltungsgericht kommt nach Durchsicht der Akten zum Ergebnis, dass die Vorinstanz ihrer Abklärungspflicht aus heutiger Sicht vorliegend nicht ausreichend nachgekommen ist. Nach gesicherten Erkenntnissen hat das SEM mittlerweile die Zusammenarbeit mit rocCONARKY beendet (vgl. Urteil des BVGer E-3115/2025 vom 15. Mai 2025 E. 6.4.2). Aufgrund dieser Tatsache kann nicht (mehr) davon ausgegangen werden, dass der Beschwerdeführer bei einer Rückkehr nach Guinea von diesem Verein betreut werden kann und über eine gesicherte Unterbringungsmöglichkeit verfügt. Hinzu kommt, dass das SEM mehrfach ausführt, betreffend den Beschwerdeführer von rocCONAKRY eine individuelle Zusicherung im Hinblick auf die Betreuung nach der Rückkehr erhalten zu haben. In den Akten befindet sich zwar ein Formular, welches mit "Konsultation der NGO rocCONAKRY" betitelt ist (vgl. SEM-Akte A23). Auch sind im oberen Teil dieses Dokuments die Personalien des Beschwerdeführers eingetragen. Hingegen wurden in der Sparte "Resultat der Anfrage" bei beiden im Dokument aufgeführten Möglichkeiten (Zustimmung zur Betreuung des Beschwerdeführers oder aber deren Ablehnung) die dafür vorgesehenen Felder nicht ausgefüllt und das Dokument ist auch nicht unterzeichnet. Es ist daher für das Gericht aufgrund der vorliegenden Akten - ungeachtet der beendeten Zusammenarbeit zwischen dem SEM und rocCONAKRY - auch nicht möglich nachzuprüfen, ob der Verein rocCONAKRY jemals die Zustimmung für die Betreuung des Beschwerdeführers nach seiner Rückführung nach Guinea erteilt hat. Demzufolge ist aus mehreren Gründen nicht geklärt, ob der minderjährige Beschwerdeführer bei einer Rückkehr in seinen Heimatstaat effektiv betreut werden kann. Eine Verletzung der Mitwirkungspflicht des Beschwerdeführers, die die Vorinstanz von ihrer Abklärungspflicht entbinden würde (vgl. E. 4.4.2), wird von der Vorinstanz nicht geltend gemacht und ist vorliegend auch nicht ersichtlich. Somit hat die Vorinstanz den rechtserheblichen Sachverhalt vorliegend unvollständig festgestellt.</w:t>
      </w:r>
    </w:p>
    <w:p>
      <w:r>
        <w:rPr>
          <w:b/>
        </w:rPr>
        <w:t>E. 4.6.1</w:t>
      </w:r>
    </w:p>
    <w:p>
      <w:r>
        <w:t>Weiter wird gerügt, das SEM habe in der angefochtenen Verfügung die gesundheitlichen Probleme des Beschwerdeführers nicht erwähnt. Damit wird eine Begründungspflichtverletzung geltend gemacht. Hierzu ist festzustellen, dass das SEM den Aufenthalt des Beschwerdeführers einer psychiatrischen Akutstation für Jugendliche wegen akuter Suizidalität und die dabei gestellte Diagnose einer schweren depressiven Episode, sowie den Verdacht auf das Vorliegen einer posttraumatischen Belastungsstörung (vgl. den in den Vorakten liegenden Austrittsbericht der (...) vom 8. April 2024, SEM-Akte A29) in der angefochtenen Verfügung weder im Sachverhalt noch in der Begründung erwähnte. Beim Gesundheitszustand eines Asylsuchenden handelt es sich jedoch um einen im Rahmen der Beurteilung des Wegweisungsvollzugs zwingend zu berücksichtigenden Gesichtspunkt. Umso mehr gilt dies, wenn es sich - wie beim Beschwerdeführer - um einen unbegleiteten minderjährigen Asylsuchenden handelt, seine diagnostizierte Erkrankung keine Bagatelle darstellt, der behandelnde Arzt eine weiterführende psychiatrisch-psychotherapeutische Behandlung und die Prüfung einer antidepressiven Medikation als indiziert erachtete und sich der Klinikaufenthalt erst kurze Zeit vor Erlass der angefochtenen Verfügung ereignet hat. Inwiefern das SEM diese Faktoren bei der Beurteilung der Zumutbarkeit des Vollzugs tatsächlich berücksichtigt hat, kann angesichts der fehlenden Auseinandersetzung in der angefochtenen Verfügung nicht nachvollzogen werden. Durch das Versäumnis, sich angemessen mit der gesundheitlichen Situation des Beschwerdeführers auseinanderzusetzen, hat das SEM seine Begründungspflicht und damit den Anspruch des Beschwerdeführers auf rechtliches Gehör verletzt.</w:t>
      </w:r>
    </w:p>
    <w:p>
      <w:r>
        <w:rPr>
          <w:b/>
        </w:rPr>
        <w:t>E. 4.6.2</w:t>
      </w:r>
    </w:p>
    <w:p>
      <w:r>
        <w:t>Auf Beschwerdeebene hat das SEM sich allerdings im Rahmen des angeordneten Schriftenwechsels eingehend zum Gesundheitszustand geäussert. Ob damit die Verletzung des rechtlichen Gehörs auf Beschwerdeebene hat geheilt werden können, kann angesichts der oben festgestellten Untersuchungspflichtverletzung sowie des damit einhergehenden weiteren Abklärungsbedarfs in Bezug auf die Zumutbarkeit des Wegweisungsvollzugs im vorliegenden Fall aber offengelassen werden.</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Die Beschwerde ist insoweit gutzuheissen, als die angefochtene Verfügung in den Dispositivziffern 4 und 5 aufzuheben und die Sache im Wegweisungsvollzugspunkt zur vollständigen Feststellung des Sachverhalts sowie zur Neubeurteilung im Sinne der Erwägungen an die Vorinstanz zurückzuweisen ist. Die Erstellung des Sachverhalts bedarf weiterer Abklärungen, die den Rahmen des Beschwerdeverfahrens sprengen würden. Zudem ginge dem Beschwerdeführer bei der Vornahme der Abklärungen durch das Bundesverwaltungsgericht eine Instanz verloren. Die Vorinstanz ist daher gehalten, die notwendigen konkreten Abklärungen zur Rückkehr des Beschwerdeführers nach Guinea im Sinne der Erwägungen vorzunehmen. Anschliessend wird sie unter Berücksichtigung der Erkenntnisse sowie in umfassender Würdigung aller für das Kindeswohl relevanter Kriterien und der gesundheitlichen Situation des Beschwerdeführers erneut über den Wegweisungsvollzug zu entscheiden haben.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reichte keine Kostennote ein, weshalb die notwendigen Parteikosten aufgrund der Akten zu bestimmen sind (Art. 14 Abs. 2 in fine VGKE). Gestützt auf die in Betracht zu ziehenden Bemessungsfaktoren (Art. 9-13 VGKE) ist dem Beschwerdeführer zulasten der Vorinstanz eine Parteientschädigung von insgesamt Fr. 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