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D-4220/2012 vom 10. September 2012</w:t>
      </w:r>
    </w:p>
    <w:p>
      <w:r>
        <w:t>Bundesverwaltungsgericht, 2012-09-10, DE</w:t>
      </w:r>
    </w:p>
    <w:p>
      <w:r>
        <w:rPr>
          <w:b/>
        </w:rPr>
        <w:t xml:space="preserve">Quelle: </w:t>
      </w:r>
      <w:r>
        <w:t>https://mcp.opencaselaw.ch/entscheid/bvger_D-4220_2012</w:t>
      </w:r>
    </w:p>
    <w:p>
      <w:r>
        <w:t>FR: TAF D-4220/2012 du 10 septembre 2012</w:t>
      </w:r>
    </w:p>
    <w:p>
      <w:r>
        <w:t>IT: TAF D-4220/2012 del 10 settembre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In der Beschwerde wurde als Rechtsbegehren die Anordnung einer vorläufigen Aufnahme beantragt. Die Beschwerde stellt mithin eine Teilanfechtung dar, die sich auf den Wegweisungs(vollzugs)punkt beschränkt, den Asylpunkt aber unberührt lässt.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6.3</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wies in ihrer angefochtenen Verfügung zutreffend darauf hin, dass das Prinzip des flüchtlingsrechtlichen Non-Refoulement nur Per­sonen schützt, die die Flüchtlingseigenschaft erfüllen, was auf die Beschwerdeführenden nicht zutrifft. Eine Rückkehr der Beschwerde­füh­ren­den in den Heimatstaat ist demnach unter dem Aspekt von Art. 5 AsylG rechtmässig.</w:t>
      </w:r>
    </w:p>
    <w:p>
      <w:r>
        <w:rPr>
          <w:b/>
        </w:rPr>
        <w:t>E. 6.4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w:t>
      </w:r>
    </w:p>
    <w:p>
      <w:r>
        <w:rPr>
          <w:b/>
        </w:rPr>
        <w:t>E. 6.5</w:t>
      </w:r>
    </w:p>
    <w:p>
      <w:r>
        <w:t>Die Beschwerdeführenden machen betreffend die Gefahr einer EMRK-widrigen Misshandlung im Wesentlichen folgenden Sachverhalt geltend: Der Beschwerdeführer sei Berufsmilitär im Rang eines Majors gewesen und habe in einer Kaserne in X._______ gearbeitet. Dort habe sich (...) ein Soldat erschossen. Der Beschwerdeführer habe sich in der Nähe aufgehalten und sei - nachdem er den Schuss gehört habe - in die Kaserne gerannt, habe sich über den Toten gebeugt und diesem ohne zu überlegen die Pistole abgenommen. In der Folge sei der Vorfall strafrechtlich untersucht worden. Da seine Fingerabdrücke auf der Pistole, jedoch nicht auf dem Abzug gewesen seien, sei er (...) freigesprochen worden. Ein schriftliches Urteil habe er nicht bekommen. Die Familienangehörigen des verstorbenen Soldaten hätten diesen Freispruch jedoch nicht hinnehmen wollen und seien davon überzeugt, dass der Beschwerdeführer der Mörder des Soldaten sei. Sie hätten den Beschwerdeführer angegriffen. Dabei hätten sie einen Hund auf ihn gehetzt, der ihn gebissen habe. Er sei auch mit einer Metallstange geschlagen worden, wobei seine Kunstzähne beschädigt worden seien. Aus Angst habe er sich nicht an die Polizei gewendet, da ihm die Angreifer im Falle einer Anzeige mit dem Tod gedroht hätten. Die Angehörigen des Verstorbenen seien aber auch gegen die Beschwer­deführerin vorgegangen. Sie hätten sie (...) sowie (...) zu dritt vergewaltigt. Zudem hätten sie an ihrem Arbeitsort grossen Sachschaden angerichtet, so dass sie ihre Arbeit verloren habe. Auch die Beschwerdeführerin habe aus Angst keine Anzeige erstattet.</w:t>
      </w:r>
    </w:p>
    <w:p>
      <w:r>
        <w:rPr>
          <w:b/>
        </w:rPr>
        <w:t>E. 6.6</w:t>
      </w:r>
    </w:p>
    <w:p>
      <w:r>
        <w:t>Das BFM wendet demgegenüber ein, dass die Übergriffe durch die Familienangehörigen des Verstorbenen in der Mongolei strafrechtlich relevantes Verhalten darstellen würden. Solche Vorfälle werden auch in der Mongolei strafrechtlich verfolgt. Die Mongolei gelte als verfolgungssicher und die Behörden seien demnach in der Lage, ihre Bürger genügend vor Übergriffen Privater zu schützen. Es könne von den Beschwerdeführenden erwartet werden, diesen Schutz im Heimatstaat in Anspruch zu nehmen.</w:t>
      </w:r>
    </w:p>
    <w:p>
      <w:r>
        <w:rPr>
          <w:b/>
        </w:rPr>
        <w:t>E. 6.7</w:t>
      </w:r>
    </w:p>
    <w:p>
      <w:r>
        <w:t>In der Beschwerdeschrift wird diesen Erwägungen entgegengehalten, dass die Familie des Verstorbenen sehr einflussreich und wohlhabend sei. Aufgrund der hohen Korruption in der Mongolei würden die Behörden die Beschwerdeführenden daher nicht vor weiteren Übergriffen seitens dieser Familie schützen.</w:t>
      </w:r>
    </w:p>
    <w:p>
      <w:r>
        <w:rPr>
          <w:b/>
        </w:rPr>
        <w:t>E. 6.8</w:t>
      </w:r>
    </w:p>
    <w:p>
      <w:r>
        <w:t>Das BFM erachtete den Vollzug der Wegweisung zu Recht als zulässig. Die Beschwerdeführenden machen als Grund für die Unzulässigkeit des Vollzugs der Wegweisung eine Misshandlungsgefahr durch Private geltend, vor welcher sie die staatlichen Behörden nicht schützen würden. Dieses Vorbringen erscheint unbegründet. Wie bereits das BFM ausführte, verfügt die Mongolei grundsätzlich über eine funktionierende Behördenstruktur. So wurde die Unschuld des Beschwerdeführers in einem justizförmigen Verfahren festgestellt, was die Funktionsfähigkeit der mongoli­schen Behörden bestätigt. Der Einwand, dass die Familie des verstorbenen Soldaten mit finanziellen Mitteln und ihrem hohen Ansehen auf die (korrupten) Behörden Einfluss nehmen würden und somit die Schutzwilligkeit des Staates zu verneinen sei, überzeugt nicht. So ist insbesondere nicht nachvollziehbar, wieso diese Familie - wäre sie wirklich imstande, auf die behördliche Tätigkeit entscheidenden Einfluss zu nehmen - nicht bereits den Freispruch des Beschwerdeführers verhindert hätte. Überdies handelt es sich beim Beschwerdeführer um einen Major der Streitkräfte, so dass er wohl selbst über eine angesehene und einflussreiche soziale Position verfügt. Es ist somit anzunehmen, dass der Staat willens ist, einen Major der eigenen Streitkräfte vor strafrechtlich relevanten Behelligungen von privater Seite zu schützen. Schliesslich wurde die mangelhafte Schutzwilligkeit der Behörden aufgrund des enormen Einflusses der Familie des verstorbenen Soldaten in den Anhörungen von beiden Beschwerdeführenden nicht erwähnt und erweckt somit den Eindruck einer nachgeschobenen Begründung. Zusammenfassend kann festgehalten werden, dass die Beschwerdeführenden nicht glaubhaft darlegen konnten, dass sie für den Fall einer Ausschaffung in den Heimatstaat dort mit beachtlicher Wahrscheinlichkeit einer nach Art. 3 EMRK oder Art. 1 FoK verbotenen Strafe oder Behandlung ausgesetzt wären.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6.9</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6.10</w:t>
      </w:r>
    </w:p>
    <w:p>
      <w:r>
        <w:t>Im vorliegenden Fall sprechen weder allgemeine noch individuelle Gründe gegen die Zumutbarkeit des Wegweisungsvollzugs. Die allgemeine Situation im Heimatstaat lässt den Vollzug nicht als unzumutbar erscheinen. Zudem verfügen beide Beschwerdeführenden über Verwandte in X._______ und über eine gute Schulbildung (Hochschulabschluss respektive Volksschulabschluss) sowie über fundierte Berufserfahrung, so dass auch keine individuellen Gründe gegen die Zumutbarkeit sprechen. Mithin ist der Vollzug der Wegweisung als zumutbar zu betrachten.</w:t>
      </w:r>
    </w:p>
    <w:p>
      <w:r>
        <w:rPr>
          <w:b/>
        </w:rPr>
        <w:t>E. 6.11</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6.12</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den Beschwerde­füh­renden aufzuerlegen (Art. 63 Abs. 1 VwVG), auf insgesamt Fr. 600.- festzusetzen (Art. 1 - 3 des Reglements vom 21. Februar 2008 über die Kosten und Entschädigungen vor dem Bundesverwaltungsgericht [VGKE, SR 173.320.2]) und mit dem am 30. August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