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D-4214/2018 vom 20. November 2018</w:t>
      </w:r>
    </w:p>
    <w:p>
      <w:r>
        <w:t>Bundesverwaltungsgericht, 2018-11-20, DE</w:t>
      </w:r>
    </w:p>
    <w:p>
      <w:r>
        <w:rPr>
          <w:b/>
        </w:rPr>
        <w:t xml:space="preserve">Quelle: </w:t>
      </w:r>
      <w:r>
        <w:t>https://mcp.opencaselaw.ch/entscheid/bvger_D-4214_2018</w:t>
      </w:r>
    </w:p>
    <w:p>
      <w:r>
        <w:t>FR: TAF D-4214/2018 du 20 novembre 2018</w:t>
      </w:r>
    </w:p>
    <w:p>
      <w:r>
        <w:t>IT: TAF D-4214/2018 del 20 novembre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einer zweiten Richterin (Art. 111 Bst. e AsylG) ohne Weiterungen und mit summarischer Urteilsbegründung zu behandeln (Art. 111a Abs. 1 und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Dabei umfasst die Furcht vor künftiger Verfolgung allgemein ein auf tatsächlichen Gegebenheiten beruhendes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2011/50 E. 3.1.1; BVGE 2011/51 E. 6.2).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seinen Asylentscheid damit, dass die erlittenen und weiterhin befürchteten Verfolgungsmassnahmen aus einem anderen als den in Art. 3 Abs. 1 AsylG abschliessend aufgezählten Gründen erfolgt seien. So sei angeblich ein Landstreit das Motiv für die Tötung seines Vaters und seines Onkels gewesen. Der Beschwerdeführer vermute, aus demselben Grund Übergriffen ausgesetzt gewesen zu sein und solche weiterhin befürchten zu müssen. Das in seinem Namen verfasste Schreiben über die Tötung seines Vaters und die Übergriffe, denen er ausgesetzt gewesen sei, sowie die behördliche Bestätigung dieser Vorfälle würden nichts an der Einschätzung ändern, dass die angeführte Verfolgung nicht asylrelevant sei. Die geltend gemachten verheerenden Anschläge in Kabul seien eine Folge der soziopolitischen Verhältnisse in Afghanistan und als solche flüchtlingsrechtlich nicht bedeutsam. Demzufolge erfülle er die Flüchtlingseigenschaft nicht, sodass sein Asylgesuch abzulehnen sei. Darüber hinaus würden sich keine Anhaltspunkte für eine konkrete Gefahr ergeben würden, dass ihm im Fall einer Rückschiebung eine durch Art. 3 EMRK verbotene Strafe oder Behandlung drohen würde. Die folgenden Ungereimtheiten würden in einer Gesamtwürdigung zum Schluss führen, dass die von ihm vorgetragene persönliche Verfolgung als eine fiktive zu taxieren sei. So sei die Feststellung der Identität als unabdingbare und zentrale Voraussetzung für die Abklärung des Sachverhalts nicht ausreichend belegt. Weiter habe er unterschiedliche Gründe dafür angegeben, weshalb er seine Heimatprovinz B._______ in Richtung Kabul verlassen habe und ob er ohne oder mit seiner Familie in Kabul gewesen sei. Zunächst habe er ausserdem angegeben, auf dem Weg zur Arbeit von einem Auto angefahren worden zu sein, später jedoch habe er behauptet, er sei nachmittags um halb vier unterwegs zum Fussballspielen gewesen.</w:t>
      </w:r>
    </w:p>
    <w:p>
      <w:r>
        <w:rPr>
          <w:b/>
        </w:rPr>
        <w:t>E. 5.2</w:t>
      </w:r>
    </w:p>
    <w:p>
      <w:r>
        <w:t>Der Beschwerdeführer entgegnete in der Rechtsmittelschrift im Wesentlichen, die angeblichen Unstimmigkeiten in seinen Aussagen zum Zeitpunkt seines Umzugs nach Kabul (richtig sei, dass er im Alter von sieben Jahren nach Kabul zu Verwandten gezogen sei, indessen seine Mutter und Geschwister erst nach dem Tod des Vaters nachgekommen seien) auf Missverständnisse mit der dolmetschenden Person, unpräzise Formulierungen seinerseits und unpräzises Übersetzen zurückzuführen seien. Den angeblichen Widerspruch betreffend den Vorfall, bei dem er angefahren worden sei (er habe sich nicht auf dem Weg zur Arbeit, sondern nach der Arbeit auf dem Weg zum Fussball befunden), habe er auf Vorhalt des SEM in der Anhörung plausibel erklären und auflösen können. Er habe insgesamt konsistent ausgesagt und sich übereinstimmend zum Kern seiner Fluchtgründe geäussert. Das SEM erhebe sodann in ungerechtfertigter Weise den Besitz und die Abgabe von Identitätspapieren faktisch zum Glaubwürdigkeitskriterium, obwohl es ihm diesbezüglich zu Recht keine Verletzung der Mitwirkungspflicht vorgeworfen werde. Vor dem Hintergrund der Untersuchungspflicht könne sich die Vorinstanz nicht auf fehlende Glaubwürdigkeit berufen - ansonsten würde sein Anspruch auf rechtliches Gehör verletzt. Die bisherige Praxis, es mangle einer Familienfehde am Erfordernis der flüchtlingsrechtlich relevanten Verfolgungsmotivation, sei den internationalen Standards anzupassen. Vorliegend sei eine Blutfehde nach der Definition des UNHCR ohne weiteres zu bejahen. Er sei der älteste männliche Angehörige seiner Familie, weshalb er annehme, dass seine mögliche Rache mit einem Angriff auf ihn habe vorweggenommen werden sollen. Beim Vorfall vom (...) 2014 handle es sich mit grösster Wahrscheinlichkeit nicht um einen blossen Unfall, sondern um eine gezielte Attacke, da der Lenker des Autos nicht gebremst habe, sondern ihn gezielt und bewusst mit grosser Geschwindigkeit angefahren habe. Dies würden auch die Anrufe bestätigen, die er davor und danach erhalten habe. Die begründete Furcht, im Falle einer Rückkehr ernsthaften Nachteilen ausgesetzt zu werden, sei zu bejahen. Es fehle ihm ausserdem die Möglichkeit, adäquaten staatlichen Schutz in Anspruch zu nehmen. So habe sich die Polizei nach seiner Befragung im Krankenhaus nicht mehr bei ihm gemeldet. Ein Strafverfahren habe zudem nicht zwingend Einfluss auf das Fortsetzen oder die Beendigung einer Fehde. Sein jüngerer Bruder, welcher in der Familienposition nach seiner Ausreise quasi sein Nachfolger sei, werde privat geschützt, führe ein absolut zurückgezogenes Leben und nehme aus Sicherheitsgründen am Sozialleben nicht mehr teil. Nur deshalb habe bisher verhindert werden können, dass diesem etwas zustosse.</w:t>
      </w:r>
    </w:p>
    <w:p>
      <w:r>
        <w:rPr>
          <w:b/>
        </w:rPr>
        <w:t>E. 5.3</w:t>
      </w:r>
    </w:p>
    <w:p>
      <w:r>
        <w:t>In der Eingabe vom 31. Oktober 2018 brachte der Beschwerdeführer vor, sein Bruder habe im (...) 2018 zwei Drohanrufe erhalten. Der unbekannte Anrufer habe wissen wollen, wo er (Beschwerdeführer) sich befinde. Der Bruder habe daraufhin seine SIM-Karte zerstört. Kurz nach dem zweiten Anruf sei er auf der Strasse von einer Gruppe unbekannter Personen tätlich angegriffen worden. Aus Angst, es könne ihm etwas zustossen, sei die ganze Familie am (...) 2018 nach D._______ umgezogen.</w:t>
      </w:r>
    </w:p>
    <w:p>
      <w:r>
        <w:rPr>
          <w:b/>
        </w:rPr>
        <w:t>E. 6.1</w:t>
      </w:r>
    </w:p>
    <w:p>
      <w:r>
        <w:t>Vorab ist festzuhalten, dass das SEM in der angefochtenen Verfügung entsprechend den Angaben des Beschwerdeführers von dessen afghanischen Staatsangehörigkeit ausgegangen ist. Es ist deshalb nicht ersichtlich, inwiefern ihm aus dem Hinweis in der angefochtenen Verfügung, seine Identität sei nicht ausreichend belegt, ein Nachteil erwachsen sein sollte, zumal der Mangel an Identitätsdokumenten entgegen der Auffassung des Beschwerdeführers vom SEM nicht zum Glaubwürdigkeitskriterium erhoben worden ist (vgl. angefochtene Verfügung unter III. Ziff. 2.).</w:t>
      </w:r>
    </w:p>
    <w:p>
      <w:r>
        <w:rPr>
          <w:b/>
        </w:rPr>
        <w:t>E. 6.2</w:t>
      </w:r>
    </w:p>
    <w:p>
      <w:r>
        <w:t>Sodann ist mit dem SEM einig zu gehen, dass die angeblichen Tötungen des Vaters und des Onkels, die dargelegten anonymen Anrufe sowie der behauptete Vorfall vom (...) 2014 nicht aus einem der in Art. 3 Abs. 1 AsylG erwähnten Motive (Rasse, Religion, Nationalität, Zugehörigkeit zu einer bestimmten sozialen Gruppe, politische Anschauung) erfolgt, sondern auf einen Landstreit und somit auf einen innerfamiliären Konflikt zurückzuführen sind (vgl. SEM act. A17 F44 f.). Derartige Konflikte stellen mangels eines solchen Motivs indessen keine Verfolgung im asylrechtlichen Sinn dar (vgl. Urteil des BVGer D-4321/2018 vom 6. September 2018).</w:t>
      </w:r>
    </w:p>
    <w:p>
      <w:r>
        <w:rPr>
          <w:b/>
        </w:rPr>
        <w:t>E. 6.3</w:t>
      </w:r>
    </w:p>
    <w:p>
      <w:r>
        <w:t>Dem Beschwerdeführer ist es somit nicht gelungen, eine asylrechtlich relevante Verfolgungssituation nachzuweisen oder zumindest glaubhaft zu machen. Das SEM hat sein Asylgesuch demnach zu Recht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(vgl. BVGE 2009/50 E. 9, BVGE 2013/37 E. 4.4, je m.w.H.). Die Wegweisung wurde zu Recht angeordnet.</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8.2.1</w:t>
      </w:r>
    </w:p>
    <w:p>
      <w:r>
        <w:t>Das Prinzip des flüchtlingsrechtlichen Non-Refoulement schützt nur Personen,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Afghanistan ist demnach unter dem Aspekt von Art. 5 AsylG rechtmässig.</w:t>
      </w:r>
    </w:p>
    <w:p>
      <w:r>
        <w:rPr>
          <w:b/>
        </w:rPr>
        <w:t>E. 8.3.1</w:t>
      </w:r>
    </w:p>
    <w:p>
      <w:r>
        <w:t>Sodann ist zu prüfen, ob der Beschwerdeführer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Art. 3 EMRK und Art. 3 FoK verbieten - als Schutzbestimmungen für elementarste Werte demokratischer Gesellschaften - Folter sowie unmenschliche und erniedrigende Strafe oder Behandlung in absoluter Weise (vgl. u.a. General Comment No. 2 des Komitees gegen Folter [CAT] vom 24. Januar 2008). In ihrem Entscheid vom 2. März 1995 (Nr. 24573/94) hat die Europäische Menschenrechtskommission die Gefahr einer von nichtstaatlichen Urhebern ausgehenden Verfolgung unter dem Blickwinkel von Art. 3 EMRK geprüft und dabei unterstrichen, es komme allein auf das Bestehen einer objektiven Gefahr an. Auch der EGMR vertrat in seinem Urteil Ahmed gegen Österreich die Auffassung des absoluten Charakters von Art. 3 EMRK. Die Anwendbarkeit dieser Bestimmung auf nichtstaatliche Akteure wurde mithin bejaht und ist vom Verhalten der betreffenden Person unabhängig (vgl. Urteil des EGMR Ahmed gegen Österreich vom 17. Dezember 1996, 25964/94, Recueil CourEDH 1996-VI S. 2195 Ziff. 46; seither ständige Praxis). Bereits die ARK ging davon aus, die Anwendung von Art. 3 EMRK setze nicht zwingend voraus, die drohende menschenrechtswidrige Behandlung müsse von staatlichen Organen ausgehen (EMARK 2004 Nr. 14 E. 5b und 1996 Nr. 18 S. 182 ff.).</w:t>
      </w:r>
    </w:p>
    <w:p>
      <w:r>
        <w:rPr>
          <w:b/>
        </w:rPr>
        <w:t>E. 8.3.2</w:t>
      </w:r>
    </w:p>
    <w:p>
      <w:r>
        <w:t>Vorliegend bestehen keine hinreichenden Anhaltspunkte für eine ernsthafte und konkrete Gefährdung des Beschwerdeführers in seinem Heimatstaat im Sinne von Art. 3 EMRK. Das Gericht schliesst sich der Einschätzung der Vorinstanz an, wonach diverse Ungereimtheiten in einer Gesamtwürdigung zum Schluss führen, dass die vom Beschwerdeführer vorgetragene persönliche Verfolgung durch Verwandte als eine fiktive zu taxieren ist. So legte der Beschwerdeführer zuerst dar, er sei auf dem Weg zur Arbeit angefahren worden (SEM act. A17 F39 2. Abschnitt), um sodann vorzubringen, er sei auf dem Weg zum Fussballspielen gewesen (SEM act. A17 F62). Diesen Widerspruch vermag er nicht aufzulösen, indem er dem Dolmetscher der Anhörung vorhält, nicht vollständig übersetzt zu haben, um sodann anzuführen, er sei mit dem Fahrrad unterwegs gewesen (SEM act. A17 F73), was er bisher nicht erwähnt hatte. Es handelt sich beim angeblichen Vorfall vom (...) 2014 um ein Kernvorbringen, weshalb erwartet werden darf, dass seine diesbezüglichen Schilderungen übereinstimmend sind. Auch sein Einwand, die Unstimmigkeiten in seinen Angaben seien auf Missverständnisse mit der dolmetschenden Person in der BzP, auf unpräzise Formulierungen seinerseits oder auf unpräzises Übersetzen zurückzuführen, vermögen nicht zu überzeugen, da er die Richtigkeit des BzP-Protokolls mit seiner Unterschrift bestätigt hat. Den Akten lassen sich zudem keine Hinweise entnehmen, dass die Dolmetscherin unsorgfältig oder ungenügend übersetzt hätte. Ferner machte er nur vage Angaben im Zusammenhang mit der Anzahl und den zeitlichen Abständen der anonymen Telefonanrufe. So gab er an, der erste Anruf habe sieben bis acht Monate nach dem Tod seines Vaters stattgefunden (SEM act. A17 F54), eineinhalb bis zwei Monate später habe er einen zweite Anruf erhalten (SEM act. A17 F56) und weitere ein bis zwei Anrufe seien innerhalb von sieben bis acht Monaten erfolgt (SEM act. A17 F57). Schliesslich sei er zwei bis drei Monate nach dem letzten Anruf angefahren worden (SEM act. A17 F59). Demnach hätte - ausgehend vom Todestag seines Vaters am (...) 2012 - der Autounfall (...) 2014 stattfinden müssen. Als Datum dieses Vorfalls gibt er aber den (...) 2014 an. Auch die eingereichten Krankenakten vermerken gemäss Übersetzung den (...) 2014, womit die zeitlichen Widersprüche aber nicht aufgelöst werden. Festzuhalten ist ausserdem, dass den Krankenakten grundsätzlich nur ein geringer Beweiswert zukommt, da sie nicht als fälschungssicher erachtet werden können. Die angebliche Verfolgung durch Verwandte erscheint ausserdem als konstruiert, da sich die Ausführungen des Beschwerdeführers zumeist in Mutmassungen erschöpfen. So vermutete er bloss, dass es sich beim Vorfall vom (...) 2014 um eine gezielte Attacke gegen ihn gehandelt habe. Dass der Fahrer ihn ungebremst angefahren habe (vgl. Beschwerdeschrift S. 3 Ziff. 4), ist eine unbelegte Behauptung und vermag im Übrigen einen persönlichen und gezielten Angriff nicht zu beweisen, da ebenso gut denkbar ist, dass das Nichtbremsen auf eine Unachtsamkeit des Fahrers anstatt auf Absicht zurückzuführen ist. Auch den Krankenakten ist nichts zu entnehmen, dass eine gezielte Attacke belegen könnte, es ist darin gemäss Übersetzung im Gegenteil von einem "Verkehrsunfall" die Rede. Darüber hinaus ist es nur eine Vermutung seiner Mutter, dass die angeblichen anonymen Telefonanrufe im Zusammenhang mit dem Vorfall vom (...) 2014 und mit dem Tod des Vaters stehen würden (SEM act. A17 F39 3. Abschnitt). Eine blosse Vermutung ist ausserdem, dass die Tötung des Vaters am (...) 2012 im Zusammenhang mit der Familienfehde stehe. So räumt der Beschwerdeführer selbst ein, man wisse nicht genau, wer seinen Vater getötet habe (vgl. SEM act. A17 F46) und begründet in der Beschwerdeschrift (vgl. dort S. 3 Ziff. 3) die Vermutung der "späten Blutrache" für den Familienkonflikt, der angeblich bereits vor seiner Geburt stattgefunden hat (vgl. Beschwerdeschrift S. 3 Ziff. 2), damit, dass keine anderen Motive ersichtlich gewesen seien. Auch erstaunt die Unsubstantiiertheit seiner Vorbringen zur Ursache der Familienfehde. Es wäre zu erwarten gewesen, dass er mehr Kenntnis darüber hätte, auch wenn die Fehde angeblich vor seiner Geburt ihren Ursprung hatte (vgl. Beschwerdeschrift S. 3 Ziff. 2), zumal anzunehmen ist, dass ihm seine Eltern davon erzählt hätten. Soweit der Beschwerdeführer darlegt, sein Bruder habe im (...) 2018 zwei Drohanrufe von einer unbekannten Person erhalten, welche seinen Aufenthaltsort habe in Erfahrung bringen wollen, und sei wenig später auf der Strasse von einer Gruppe unbekannter Personen tätlich angegriffen worden, ist festzuhalten, dass diese unsubstantiierten Vorbringen durch nichts gestützt werden. Im Falle eines Zusammenhangs zwischen dem Angriff auf den Bruder und der Familienfehde wäre zudem zu erwarten, dass sich die Angreifer gegenüber dem Bruder zu erkennen gegeben hätten oder aber diesen gravierend beziehungsweise lebensbedrohlich verletzt hätten, wovon mangels entsprechenden Angaben des Beschwerdeführers nicht auszugehen ist. An dieser Einschätzung vermögen die eingereichten Beweismittel nichts zu ändern, zumal sowohl das Bestätigungsschreiben der Provinzverwaltung B._______ als auch der Mietvertrag über eine Wohnung in der Provinz D._______ leicht käuflich erwerbbar sind und ihnen somit grundsätzlich nur ein geringer Beweiswert zukommt. Es ist daher nicht davon auszugehen, dass der Beschwerdeführer bei einer Rückkehr nach Afghanistan mit beachtlicher Wahrscheinlichkeit einer verbotenen Strafe oder Behandlung im Sinne von Art. 3 EMRK ausgesetzt wäre. Die Wegweisung erweist sich als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Betreffend die allgemeine Lage in Afghanistan kann vorab auf das als Referenzurteil publizierte Urteil des Bundesverwaltungsgerichts D-5800/2016 vom 13. Oktober 2017 verwiesen werden. Das Gericht stellte nach eingehender Analyse fest, dass sich die Sicherheitssituation in den letzten Jahren über alle Regionen hinweg deutlich verschlechtert hat und die humanitären Bedingungen in weiten Teilen Afghanistans als existenzbedrohend im Sinne von Art. 83 Abs. 4 AuG zu qualifizieren sind, weshalb der Wegweisungsvollzug als unzumutbar zu beurteilen ist. Betreffend die Hauptstadt Kabul kann von dieser allgemeinen Feststellung abgewichen werden, falls besonders begünstigende Faktoren vorliegen und die betroffene Person bei einer Rückkehr nicht in eine existenzbedrohende Lage gerät (E. 8.4.1). Solche begünstigende Voraussetzungen können grundsätzlich namentlich dann gegeben sein, wenn es sich bei der rückkehrenden Person um einen jungen, gesunden Mann handelt, welcher im Heimatland über ein soziales Netz verfügt, das ihn wieder aufnehmen kann und tragfähig ist, so dass er sich dort wieder eingliedern kann. Mithin muss das soziale Netz in der Lage sein, ihm eine angemessene Unterkunft, die Grundversorgung und Hilfe zur sozialen und wirtschaftlichen Reintegration bieten zu können. Allein lose Kontakte zu Verwandten, Bekannten oder Mitgliedern der Kernfamilie stellen insbesondere dann kein tragfähiges Netz dar, wenn das wirtschaftliche Fortkommen und die Unterbringung ungeklärt sind. Zurückhaltung bei der Bejahung eines tragfähigen sozialen Beziehungsnetzes ist geboten, wenn die betroffene Person lediglich im Sinne einer Aufenthaltsalternative nach Kabul zurückkehrt und dort kaum oder nie gelebt hat. Entscheidrelevant ist ferner die Berufserfahrung der zurückkehrenden Person respektive die Frage, inwiefern eine wirtschaftliche Wiedereingliederung mit einer bezahlten Arbeit im Zusammenspiel mit dem Beziehungsnetz begünstigt werden kann.</w:t>
      </w:r>
    </w:p>
    <w:p>
      <w:r>
        <w:rPr>
          <w:b/>
        </w:rPr>
        <w:t>E. 8.4.2</w:t>
      </w:r>
    </w:p>
    <w:p>
      <w:r>
        <w:t>Vorliegend ist von solchen begünstigenden Faktoren auszugehen. Der Beschwerdeführer ist ein junger gesunder Mann, der zwar aus der Provinz B._______ stammt, jedoch mehrere Jahre in Kabul gelebt und dort auch die Schulen besucht hat. Er verfügt sodann über eine für afghanische Verhältnisse solide Schulbildung sowie über Berufserfahrung. Nachdem wie dargelegt dem Beschwerdeführer nicht geglaubt werden kann, dass er durch die dargelegte Familienfehde bedroht wurde, erscheint auch nicht glaubhaft, dass seine "ganze Familie" - womit wohl nebst der Mutter und den Geschwistern auch die Familie seines verstorbenen Onkels gemeint ist, bei welcher er mehrere Jahre gewohnt hat (SEM act. A17 F17 ff., F28) - deswegen von Kabul wegziehen musste. Dies gilt umso mehr, als der Beschwerdeführer nicht vorgebracht hat, die Familie seines Onkels sei nach dessen Tod weiterhin von der Familienfehde betroffen gewesen. Zudem hat er eine Verlobte in Kabul, dessen Vater ein weiterer Onkel vs ist (SEM act. A17 Anmerkung zur Rückübersetzung zu F22). Es darf somit davon ausgegangen werden, dass der Beschwerdeführer im Falle seiner Rückkehr auf ein tragfähiges soziales Beziehungsnetz in Kabul abstellen kann, welches ihm eine angemessene Unterkunft, Grundversorgung sowie Hilfe zur sozialen Reintegration bieten kann. Die Wegweisung erweist sich somit nicht als unzumutbar.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Aufgrund der vorstehenden Erwägungen ergibt sich, dass die Beschwerde als aussichtslos zu bezeichnen war, weshalb das mit Eingabe vom 31. Oktober 2018 gestellte Gesuch um wiedererwägungsweise Gewährung der unentgeltlichen Prozessführung und Beiordnung einer amtlichen Rechtsbeiständin abzuweisen ist (Art. 65 Abs. 1 und 2 VwVG).</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23. August 2018 in der gleichen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