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D-4214/2006 vom 9. Januar 2009</w:t>
      </w:r>
    </w:p>
    <w:p>
      <w:r>
        <w:t>Bundesverwaltungsgericht, 2009-01-09, FR</w:t>
      </w:r>
    </w:p>
    <w:p>
      <w:r>
        <w:rPr>
          <w:b/>
        </w:rPr>
        <w:t xml:space="preserve">Quelle: </w:t>
      </w:r>
      <w:r>
        <w:t>https://mcp.opencaselaw.ch/entscheid/bvger_D-4214_2006</w:t>
      </w:r>
    </w:p>
    <w:p>
      <w:r>
        <w:t>FR: TAF D-4214/2006 du 9 janvier 2009</w:t>
      </w:r>
    </w:p>
    <w:p>
      <w:r>
        <w:t>IT: TAF D-4214/2006 del 9 gennaio 2009</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w:t>
      </w:r>
    </w:p>
    <w:p>
      <w:r>
        <w:t>Par décision du 2 février 2006, l'ODM a reconsidéré partiellement son prononcé du 17 janvier 2005, en application de l'art. 58 al. 1 PA, et a mis le recourant au bénéfice d'une admission provisoire en Suisse. Par conséquent, le recours interjeté le 17 février 2005, est devenu sans objet en matière d'exécution du renvoi. Seuls restent à examiner les arguments du recours tendant à la reconnaissance de la qualité de réfugié et à l'octroi de l'asile et contestant le renvoi de Suisse dans son principe.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 ss ; Alberto Achermann / Christina Hausammann, Les notions d'asile et de réfugié en droit suisse, in : Walter Kälin (éd.), Droit des réfugiés, enseignement de 3e cycle de droit 1990, Fribourg 1991, p. 44 ; des mêmes auteurs : Handbuch des Asylrechts, 2e éd., Berne/Stuttgart 1991, p. 108 ss ; Walter Kälin, Grundriss des Asylverfahrens, Bâle/Francfort-sur-le-Main 1990, p. 126 et 143 ss ; Samuel Werenfels, Der Begriff des Flüchtlings im schweizerischen Asylrecht, Berne 1987, p. 287 ss).</w:t>
      </w:r>
    </w:p>
    <w:p>
      <w:r>
        <w:rPr>
          <w:b/>
        </w:rPr>
        <w:t>E. 3.3</w:t>
      </w:r>
    </w:p>
    <w:p>
      <w:r>
        <w:t>Selon une jurisprudence développée par l'ancienne Commission suisse de recours en matière d'asile (cf. JICRA 2006 n° 18 consid. 10) et reprise par le Tribunal, une persécution au sens de l'art. 3 LAsi peut être le fait non seulement d'agents étatiques, mais également de privés. Pareil préjudice 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ces structures,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Ce même principe implique également que, pour pouvoir bénéficier de la protection offerte par un Etat tiers, le requérant d'asile ne doit disposer d'aucune possibilité de refuge interne dans son pays d'origine, autrement dit que les persécutions qu'il invoque s'étendent à l'ensemble du territoire, ne lui permettant pas d'en être préservé en se rendant dans une région particulière de son pays d'origine.</w:t>
      </w:r>
    </w:p>
    <w:p>
      <w:r>
        <w:rPr>
          <w:b/>
        </w:rPr>
        <w:t>E. 4.1</w:t>
      </w:r>
    </w:p>
    <w:p>
      <w:r>
        <w:t>En l'occurrence, l'intéressé a d'abord fait valoir qu'il avait été convoqué en avril 2002 par le pouvoir central irakien pour servir au sein d'une unité militaire spéciale appelée « Fiday Quds », qu'il n'avait pas donné suite à cette convocation et qu'en conséquence, il était recherché pour « désertion ».</w:t>
      </w:r>
    </w:p>
    <w:p>
      <w:r>
        <w:rPr>
          <w:b/>
        </w:rPr>
        <w:t>E. 4.2</w:t>
      </w:r>
    </w:p>
    <w:p>
      <w:r>
        <w:t>A cet égard, le Tribunal constate d'abord que le recourant n'a produit aucune convocation militaire établissant ses allégations. Il observe, ensuite, que le régime de Saddam Hussein n'existe plus depuis l'intervention militaire des Etats-Unis et de leurs alliés au printemps 2003. L'armée irakienne en fonction à l'époque a été dissoute le 23 mai 2003, à l'instar du ministère de la défense. Quant à la nouvelle armée, elle est composée de soldats volontaires et professionnels. En conséquence, les craintes de préjudices alléguées par l'intéressé, liées au fait qu'il n'aurait pas répondu à une convocation militaire émanant de l'ancien pouvoir central irakien, ne sont plus d'actualité.</w:t>
      </w:r>
    </w:p>
    <w:p>
      <w:r>
        <w:rPr>
          <w:b/>
        </w:rPr>
        <w:t>E. 4.2.1</w:t>
      </w:r>
    </w:p>
    <w:p>
      <w:r>
        <w:t>Dans son recours, l'intéressé a cependant expliqué être toujours exposé à des préjudices, en dépit de la chute du régime baasiste, d'abord parce que de nombreux membres de ce régime auraient été intégrés aux forces du nouveau gouvernement. Le Tribunal ne saurait suivre cette argumentation, dès lors qu'elle ne repose sur aucun commencement de preuve. De plus, elle ne paraît pas fondée compte tenu de la politique de « débaasisation » mise en place depuis la chute de Saddam Hussein et des changements radicaux intervenus dans le gouvernement irakien depuis lors. A titre d'exemples, l'actuel président irakien est kurde, le chef du gouvernement est un chiite modéré et le ministre de la défense, en charge des forces armées, est un sunnite, ancien général de l'armée irakienne ayant passé plusieurs années dans les geôles baasistes pour avoir critiqué Saddam Hussein.</w:t>
      </w:r>
    </w:p>
    <w:p>
      <w:r>
        <w:rPr>
          <w:b/>
        </w:rPr>
        <w:t>E. 4.2.2</w:t>
      </w:r>
    </w:p>
    <w:p>
      <w:r>
        <w:t>Le recourant a aussi affirmé craindre d'être pris pour cible par d'anciens membres des forces armées irakiennes intégrés dans des groupes de rebelles. Le Tribunal estime toutefois que ce risque n'est pas hautement probable, dès lors que la « désertion » du recourant est intervenue en avril 2002, soit il y a presque sept ans, que l'intéressé n'a jamais fait de politique et qu'il n'est pas connu dans son pays d'origine.</w:t>
      </w:r>
    </w:p>
    <w:p>
      <w:r>
        <w:rPr>
          <w:b/>
        </w:rPr>
        <w:t>E. 4.3</w:t>
      </w:r>
    </w:p>
    <w:p>
      <w:r>
        <w:t>Sur le vu de ce qui précède, le Tribunal considère que le recourant ne saurait se prévaloir, en cas de retour en Irak, d'une crainte fondée de persécution liée à son refus de servir sous le régime de Saddam Hussein.</w:t>
      </w:r>
    </w:p>
    <w:p>
      <w:r>
        <w:rPr>
          <w:b/>
        </w:rPr>
        <w:t>E. 5.1</w:t>
      </w:r>
    </w:p>
    <w:p>
      <w:r>
        <w:t>Ensuite, le recourant a fait valoir qu'il risquait d'être persécuté par des kurdes dans son pays d'origine, en raison des activités de son père, lequel avait dénoncé de nombreux membres de cette ethnie au pouvoir central irakien dans le cadre de ses activités dans les services de renseignements. Des proches de certaines de ces personnes auraient d'ailleurs tué par balle le père de l'intéressé à Kirkouk en 2003, ainsi que le frère de celui-ci en 2005. De son côté, l'autorité de première instance a estimé que ces préjudices n'étaient pas pertinents pour la reconnaissance de la qualité de réfugié et l'octroi de l'asile, dès lors qu'ils étaient le fait de tiers contre lesquels le recourant pouvait solliciter la protection des autorités locales. Elle a relevé également que les craintes énoncées par l'intéressé demeuraient pour le moins vagues et peu circonstanciées et qu'en tout état de cause, celui-ci conservait la possibilité de s'installer dans une autre région que celle de Suleymania. Dans son recours, A._______ a cependant objecté qu'il ne lui était pas possible de requérir la protection des autorités en place en Irak, vu la fonction et les agissements de son père sous le régime baasiste. Au demeurant, il a affirmé que celles-ci n'étaient pas en mesure de le protéger, compte tenu de l'insécurité régnant dans le pays. En outre, il a expliqué que les Kurdes représentaient la deuxième force politique du pays et occupaient de nombreux ministères stratégiques si bien qu'il était irréaliste de penser qu'il puisse être en mesure de leur échapper en s'installant dans une autre ville d'Irak que Suleymania.</w:t>
      </w:r>
    </w:p>
    <w:p>
      <w:r>
        <w:rPr>
          <w:b/>
        </w:rPr>
        <w:t>E. 5.2</w:t>
      </w:r>
    </w:p>
    <w:p>
      <w:r>
        <w:t>Le Tribunal estime, contrairement à ce qu'a sous-entendu le recourant, que celui-ci, n'ayant lui-même jamais exercé d'activités en faveur du régime de Saddam Hussein, ne risque pas de faire l'objet de mesures de discrimination ou de répression de la part des autorités en place en Irak. Seul peut être admis un risque de vengeance privée en raison des agissements de son père. Dès lors, le poids politique des représentants de l'ethnie kurde en Irak, invoqué par l'intéressé, n'est pas un élément déterminant, étant précisé que lui-même appartient à cette ethnie. S'agissant des risques de vengeance privée, ils sont manifestement limités aux régions de Suleymania et de Kirkuk, où le père du recourant a travaillé. Il n'est en effet pas possible d'admettre que l'intéressé puisse être identifié dans d'autres régions d'Irak comme étant le fils d'un ancien agent de renseignement du régime baasiste et qu'il soit de ce fait exposé à un risque concret de sérieux préjudices. Dans une jurisprudence récente (cf. Arrêts du Tribunal administratif suisse [ATAF] 2008 / 4 consid. 6.7. p. 52 s.), le Tribunal a exclu toute possibilité de refuge interne dans les provinces du centre et du sud de l'Irak, en raison des violences qui y prévalent. S'agissant d'une possibilité de refuge interne dans une autre province à majorité kurde du nord de l'Irak, le Tribunal a estimé qu'elle ne devait être admise qu'avec circonspection, dans la mesure où les autorités du KDP et de l'UPK administraient désormais de manière conjointe le Kurdistan irakien et collaboraient activement entre elles. En l'espèce toutefois, le recourant n'a pas allégué être exposé à de sérieux préjudices émanant des autorités de l'une ou l'autre des deux factions kurdes précitée, mais a fait valoir uniquement des persécutions de tiers. Dans ces circonstances, aucun élément concret figurant au dossier ne permet de considérer qu'un retour de l'intéressé dans l'une des provinces kurdes autre que Suleymania, à savoir Dohuk ou Erbil, serait susceptible de le confronter à la vindicte des parents de personnes dénoncées par son père. Partant, le Tribunal conclut que le recourant dispose d'une possibilité de refuge interne dans les deux provinces précitées, où un risque concret de sérieux préjudices peut être exclu en ce qui le concerne.</w:t>
      </w:r>
    </w:p>
    <w:p>
      <w:r>
        <w:rPr>
          <w:b/>
        </w:rPr>
        <w:t>E. 5.3</w:t>
      </w:r>
    </w:p>
    <w:p>
      <w:r>
        <w:t>Au vu de ce qui précède, c'est à juste titre que l'ODM a estimé que les motifs invoqués par le recourant n'étaient pas pertinents pour la reconnaissance de la qualité de réfugié et l'octroi de l'asile. 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En conclusion, le recours doit être rejeté en tant qu'il conteste le rejet de la demande d'asile et le principe du renvoi. Il est devenu sans objet en tant qu'il conteste l'exécution du renvoi de Suisse de l'intéressé (cf. supra consid. 2).</w:t>
      </w:r>
    </w:p>
    <w:p>
      <w:r>
        <w:rPr>
          <w:b/>
        </w:rPr>
        <w:t>E. 8.1</w:t>
      </w:r>
    </w:p>
    <w:p>
      <w:r>
        <w:t>Le recourant ayant été partiellement débouté, il y a lieu de mettre à sa charge des frais réduits de procédure, dont le montant s'élève à Fr. 300.- (cf. art. 63 al. 1 PA et art. 2 et 3 let. b du règlement du 21 février 2008 concernant les frais, dépens et indemnités fixés par le Tribunal administratif fédéral [FITAF, RS 173.320.2]).</w:t>
      </w:r>
    </w:p>
    <w:p>
      <w:r>
        <w:rPr>
          <w:b/>
        </w:rPr>
        <w:t>E. 8.2</w:t>
      </w:r>
    </w:p>
    <w:p>
      <w:r>
        <w:t>L'intéressé ayant obtenu gain de cause en matière d'exécution du renvoi uniquement, il a droit à des dépens réduits (cf. art. 63 al. 4 et art. 7 al. 2 FITAF). En l'absence de décompte de prestations émanant de la mandataire du recourant, le Tribunal arrête le montant des dépens, ex aequo et bono, à Fr. 300.- (cf. art. 10 al. 1 et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