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D-4210/2008 vom 1. September 2011</w:t>
      </w:r>
    </w:p>
    <w:p>
      <w:r>
        <w:t>Bundesverwaltungsgericht, 2011-09-01, DE</w:t>
      </w:r>
    </w:p>
    <w:p>
      <w:r>
        <w:rPr>
          <w:b/>
        </w:rPr>
        <w:t xml:space="preserve">Quelle: </w:t>
      </w:r>
      <w:r>
        <w:t>https://mcp.opencaselaw.ch/entscheid/bvger_D-4210_2008</w:t>
      </w:r>
    </w:p>
    <w:p>
      <w:r>
        <w:t>FR: TAF D-4210/2008 du 1 septembre 2011</w:t>
      </w:r>
    </w:p>
    <w:p>
      <w:r>
        <w:t>IT: TAF D-4210/2008 del 1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Das Bundesverwaltungsgericht verzichtet auf die Durchführung des Schriftenwechsels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festzuhalten, dass sich die Nichtbefragung des Beschwerdeführers zu den Gesuchsgründen (Asylgründen) im EVZ als gesetzeskonform erweist. Gemäss Art. 26 Abs. 2 AsylG erhebt die Empfangsstelle die Personalien und erstellt in der Regel Fingerabdruckbogen und Fotografien. Sie kann weitere biometrische Daten erheben und die Asylsuchenden summarisch zum Reiseweg und zu den Gründen befragen, warum sie ihr Land verlassen haben. Nebst dieser Kann-Bestimmung wird sodann im näher konkretisierenden Art. 19 Abs. 2 letzter Satz der Asylverordnung 1 vom 11. August 1999 über Verfahrensfragen (AsylV 1, SR 142.311) explizit aufgeführt, dass die summarische Anhörung zu den Asylgründen nach Art. 29 AsylG ersetzt werden kann.</w:t>
      </w:r>
    </w:p>
    <w:p>
      <w:r>
        <w:rPr>
          <w:b/>
        </w:rPr>
        <w:t>E. 4.2</w:t>
      </w:r>
    </w:p>
    <w:p>
      <w:r>
        <w:t>Die vom Beschwerdeführer anlässlich der direkten Bundesanhörung vorgebrachten Ausreisegründe respektive Asylgründe (allgemeine Lage in Südserbien, unerwünschte Albaner) stellen noch keine individuelle Betroffenheit im Sinne von Art. 3 AsylG dar. So führt er unter anderem aus, er wäre nicht in die Schweiz gekommen, wenn die Situation seit der Unabhängigkeit des Kosovo nicht schlechter geworden wäre. Es gäbe Provokationen und Verhaftungen; Verhaftungen ohne Spuren über die Verhafteten. Nebst diesen nicht näher substanziierten Ausführungen gab er zudem zu Protokoll, nie Opfer solcher Benachteiligungen geworden zu sein, da er vorher ausgereist sei. Damit macht der Beschwerdeführer aber keine konkret und gezielt gegen sich gerichtete nachteiligen Massnahmen staatlicher Organe geltend. Vielmehr bringt er mit diesen Vorbringen zum Ausdruck, dass die widrigen Lebensbedingungen, denen eine Vielzahl der albanischen Bevölkerung in Südserbien ausgesetzt ist, die massgebenden und entscheidenden Gründe für das Verlassen des Heimatlandes gewesen sind. Mithin ist seinem Sachvortrag die Asylrelevanz abzusprechen.</w:t>
      </w:r>
    </w:p>
    <w:p>
      <w:r>
        <w:rPr>
          <w:b/>
        </w:rPr>
        <w:t>E. 4.3</w:t>
      </w:r>
    </w:p>
    <w:p>
      <w:r>
        <w:t>In der Rechtsmitteleingabe bleibt der vom Beschwerdeführer geltend gemachte Sachverhalt grundsätzlich der Gleiche. Die Feststellungen der Vorinstanz, wonach ethnische Albaner unter Repressionen der serbischen Polizei zu leiden haben und sämtliche Angehörige dieser Minderheit betreffe, werden als zutreffend bezeichnet. Indessen wird argumentiert, die Vorinstanz verkenne dabei, dass der Beschwerdeführer nicht einfach die allgemeinen Repressionen als Fluchtgrund angegeben, sondern sehr wohl ausgeführt habe, weshalb er persönlich und in besonderem Mass gefährdet sei. Die in diesem Zusammenhang aufgestellten Behauptungen (u.a. der Beschwerdeführer sei in der Heimat politisch aktiv gewesen; nach der Unabhängigkeitsfeier des Kosovo habe er einige Tage bei Verwandten verbracht, bevor er in die Heimat zurückgekehrt sei; die Polizei habe nach ihm gesucht, als er abwesend von Zuhause gewesen sei und an einer Parteisitzung teilgenommen habe; einige Teilnehmer an besagter Unabhängigkeitsfeier seien verhaftet worden oder seien verschwunden; Kenntnis von massiven Bedrohungen gegenüber Teilnehmern an der Unabhängigkeitsfeier) müssen jedoch als unsubstanziierte und nachgeschobene Vorbringen gewertet werden, mit denen dem Asylgesuch mehr Nachdruck verliehen werden soll. Politische Aktivitäten wurden vom Beschwerdeführer im vorinstanzlichen Verfahren zu keinem Zeitpunkt geltend gemacht und auch in der Beschwerde lediglich pauschal und unsubstanziiert behauptet. Keine Stütze in den Akten finden auch die übrigen Ausführungen. Gemäss seinen Aussagen habe sich der Beschwerdeführer nach der Unabhängigkeitsfeier für einen Monat zu einem Freund nach Bosnien und Herzegowina begeben. Danach sei er nach Hause zurückgekehrt, wo es zwei Wochen lang keine Probleme gegeben habe und es ruhig gewesen sei. Von der polizeilichen Suche nach ihm habe er erfahren als er von seinem in F._______ lebenden Onkel, den er besucht habe, nach Hause zurückgekehrt sei (Protokoll der direkten Bundesanhörung, Frage 23 ff. S. 4). Demgegenüber führte er an der gleichen Anhörung etwas später aus, die Polizei habe erst, als er von Bosnien und Herzegowina zurückgekehrt sei, nach ihm gesucht (Protokoll der direkten Bundesanhörung, Frage 79 ff. S. 8). Gleichermassen verhält es sich mit den Angaben im Zusammenhang mit den Kenntnissen hinsichtlich massiver Bedrohungen durch die serbische Polizei gegenüber Personen, die an der Unabhängigkeitsfeier teilgenommen haben. Zum einen gab er zu Protokoll, nichts von Problemen gehört zu haben, welche an der Feier teilnehmenden Leuten widerfahren wären, um gleich anschliessend zu erklären, er habe gehört, dass seine Begleiter Probleme bekommen hätten, wobei er nichts Genaues darüber wisse; sie (Freunde/Begleiter) seien von zu Hause weggegangen, als sie von der polizeilichen Suche nach ihm (dem Beschwerdeführer) erfahren hätten. Dies habe er von der Familie erfahren (Protokoll der direkten Bundesanhörung Frage 68 f. S. 7 und 8). Zum anderen führte er aus, von einer ebenfalls im Zentrum weilenden Person (M), einem Albaner aus Südserbien, sowie seinem Bruder erfahren zu haben, dass alle, welche an besagter Feier teilgenommen hätten, Probleme bekommen hätten (Protokoll der direkten Bundesanhörung Frage 107 f. S. 10 und 11). Nähere Hinweise oder Aufschlüsse hinsichtlich Art, Umfang und Intensität, insbesondere der gemäss Rechtsmitteleingabe massiven Bedrohungen jener am 23. Mai 2008 verhafteten Personen aus dem Herkunftsort des Beschwerdeführers unterbleiben sodann, was in Berücksichtigung des Umstandes, dass der Beschwerdeführer über telefonischem Kontakt zu seinem am gleichen Ort lebenden Bruder verfügt, erstaunen muss. Nach dem Gesagten sowie mangels Fallbezug kann dem in diesem Zusammenhang in Kopie eingereichten Internetauszug beweisrechtlich keine Bedeutung beigemessen werden. Der Beschwerdeführer vermag daraus nichts zu seinen Gunsten abzuleiten. Nicht zuletzt braucht auch auf die dem Beschwerdeführer von der Vorinstanz vorgeworfenen Unglaubhaftigkeitselemente, welchen in der Rechtsmitteleingabe nichts entgegengesetzt wird und welchen bei gesamtheitlicher Betrachtung lediglich untergeordnete Bedeutung zukommt, nicht eingegangen zu werden.</w:t>
      </w:r>
    </w:p>
    <w:p>
      <w:r>
        <w:rPr>
          <w:b/>
        </w:rPr>
        <w:t>E. 4.4</w:t>
      </w:r>
    </w:p>
    <w:p>
      <w:r>
        <w:t>Zusammenfassend ist festzustellen, dass der Beschwerdeführer nicht darzutun vermochte, dass er einer Verfolgung im Sinne von Art. 3 AsylG ausgesetzt war oder begründete Furcht hat, einer solchen aus­gesetzt zu werden. Er kann daher nicht als Flüchtling aner­kannt werden. Die Vorinstanz hat das Asylgesuch des Beschwerdefüh­rers demnach zu Recht abgelehnt. Bei dieser Sachlage erübrigen sich weitere Erörterungen und der Eventualantrag um Rückweisung der Streitsache zur Neubeurteilung an die Vorinstanz ist abzuweisen.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Lediglich der Vollständigkeit halber ist festzuhalten, dass der Bundesrat mit Beschluss vom 19. März 2009 Serbien zum sogenannten verfolgungs­sicheren Herkunftsstaat (safe country) im Sinne von Art. 6a Abs. 2 AsylG erklärt hat und bisher von dieser Einschätzung im Rahmen der periodischen Prüfung (vgl. Art. 6a Abs. 3 AsylG) nicht abgewichen ist.</w:t>
      </w:r>
    </w:p>
    <w:p>
      <w:r>
        <w:rPr>
          <w:b/>
        </w:rPr>
        <w:t>E. 6.5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(vgl. BVGE 2008 Nr. 5). In Serbien herrscht keine Situation allgemeiner Gewalt aufgrund derer die Be­völkerung generell als konkret gefährdet betrachtet werden müsste. Zwar können Übergriffe von Privatpersonen und teilweise behördliche Schi­kanen sowie Diskriminierungen nicht völlig ausgeschlossen werden, in­dessen erreichen diese im Allgemeinen nicht ein Ausmass, das den Voll­zug der Wegweisung als unzumutbar erscheinen liesse. Auch ist nicht er­sichtlich inwiefern der heute fast 44-jährige, alleinstehende und - soweit aktenkundig - gesun­de Beschwerdeführer im Falle der Rückkehr nach Ser­bien aus individuellen Gründen in eine existenzbedrohende Situation ge­raten könnte. Nicht nur verfügt er über eine solide Schul- und Berufsbildung (Mittelschulabschluss mit Diplom als Autoschlosser; vgl. Akte A 1 S. 2 sowie A 13 S. 3), sondern er sammelte auch während Jahren Erfahrung im Erwerbsleben bei seinem Bruder, der auf Privatbasis als Gipser und Maler in D._______ tätig war (vgl. Akte A 1 S. 2). Ferner kann der Beschwerdeführer im Falle einer Rückkehr an seinen Herkunftsort, wo er bis zur Ausreise aus Serbien gelebt hat, auf ein familiäres Beziehungsnetz zurückgreifen (Mutter und drei Geschwister; vgl. Akte A1 S. 1, 2 und 4), was ausserdem eine Reintegration erleichtern dürfte. Ebenfalls kann davon ausgegangen werden, dass es ihm gelingt, trotz der wirtschaftlich schwierigen Lage in Serbien, eine neue Lebensgrundlage aufzubauen. In Würdigung sämtlicher für das vorliegende Verfahren relevanter Aspekte erweist sich der Vollzug der Wegweisung demnach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Mit Zwischenverfügung vom 30. Juli 2008 wurde das Gesuch um Gewährung der unentgeltlichen Rechtspflege im Sinne von Art. 65 Abs. 1 VwVG unter Vorbehalt einer nachträglichen Veränderung der finanziellen Verhältnisse des Beschwerdeführers gutgeheissen (vgl. Bst. D und E hiervor). Da der Beschwerdeführer gemäss den vorliegenden Akten aktuell nach wie vor nicht erwerbstätig ist, kann davon ausgegangen werden, dass er prozessual bedürftig ist. Auf die Auferlegung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