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D-4207/2022 vom 17. August 2022</w:t>
      </w:r>
    </w:p>
    <w:p>
      <w:r>
        <w:t>Bundesverwaltungsgericht, 2022-08-17, DE</w:t>
      </w:r>
    </w:p>
    <w:p>
      <w:r>
        <w:rPr>
          <w:b/>
        </w:rPr>
        <w:t xml:space="preserve">Quelle: </w:t>
      </w:r>
      <w:r>
        <w:t>https://mcp.opencaselaw.ch/entscheid/bvger_D-4207_2022_d20220817</w:t>
      </w:r>
    </w:p>
    <w:p>
      <w:r>
        <w:t>FR: TAF D-4207/2022 du 17 août 2022</w:t>
      </w:r>
    </w:p>
    <w:p>
      <w:r>
        <w:t>IT: TAF D-4207/2022 del 17 agosto 2022</w:t>
      </w:r>
    </w:p>
    <w:p>
      <w:pPr>
        <w:pStyle w:val="Heading2"/>
      </w:pPr>
      <w:r>
        <w:t>Regeste</w:t>
      </w:r>
    </w:p>
    <w:p>
      <w:r>
        <w:t>Asyl und Wegweisung (Mehrfachgesuch) | Asyl und Wegweisung (Mehrfachgesuch); Verfügung des SEM vom 17.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1.4</w:t>
      </w:r>
    </w:p>
    <w:p>
      <w:r>
        <w:t>Der Beschwerdeführer beschränkt sich in seinen Beschwerdeanträgen auf die Anerkennung als Flüchtling, weshalb die Ablehnung des Asylge- suchs unangefochten in Rechtskraft erwuchs. Auch die Wegweisung als solche blieb unangefochten und der Beschwerdeführer wurde mit der an- gefochtenen Verfügung vorläufig aufgenommen, weshalb aufgrund des Subsidiaritätsprinzips auch der Vollzug der Wegweisung nicht Prozessge- genstand bildet.</w:t>
      </w:r>
    </w:p>
    <w:p>
      <w:r>
        <w:t>D-4207/2022 Seite 8</w:t>
      </w:r>
    </w:p>
    <w:p>
      <w:r>
        <w:rPr>
          <w:b/>
        </w:rPr>
        <w:t>E. 2</w:t>
      </w:r>
    </w:p>
    <w:p>
      <w:r>
        <w:t>Die Kognition des Bundesverwaltungsgerichts und die zulässigen Rügen richten sich im Asylbereich nach Art. 106 Abs. 1 AsylG (vgl. BVGE 2014/26 E. 5).</w:t>
      </w:r>
    </w:p>
    <w:p>
      <w:r>
        <w:rPr>
          <w:b/>
        </w:rPr>
        <w:t>E. 3.1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3.2</w:t>
      </w:r>
    </w:p>
    <w:p>
      <w:r>
        <w:t>Die Flüchtlingseigenschaft ist vom Betroffenen nachzuweisen oder zu- mindest glaubhaft zu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Der Beschwerdeführer begründete sein Mehrfachgesuch damit, dass er aufgrund seiner eigenen exilpolitischen Aktivitäten, wie auch denjenigen seiner Schwester und seines Vaters, einer Verfolgungsgefahr ausgesetzt sei.</w:t>
      </w:r>
    </w:p>
    <w:p>
      <w:r>
        <w:rPr>
          <w:b/>
        </w:rPr>
        <w:t>E. 3.4</w:t>
      </w:r>
    </w:p>
    <w:p>
      <w:r>
        <w:t>Es ist zwar bekannt, dass die iranischen Behörden die politischen Ak- tivitäten ihrer Staatsbürger im Ausland überwachen und erfassen. Es bleibt jedoch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 zentrieren, die über die massentypischen, niedrigprofilierten Erscheinungs- formen exilpolitischer Proteste hinaus Funktionen ausgeübt und/oder Akti- vitäten vorgenommen haben, welche die jeweilige Person aus der Masse der mit dem Regime Unzufriedenen herausstechen und als ernsthaften und gefährlichen Regimegegner erscheinen lassen. Dabei darf davon aus- gegangen werden, dass die iranischen Sicherheitsbehörden zu unter-</w:t>
      </w:r>
    </w:p>
    <w:p>
      <w:r>
        <w:t>D-4207/2022 Seite 9 scheiden vermögen zwischen tatsächlich politisch engagierten Regimekri- tikern und Exilaktivisten, die mit ihren Aktionen in erster Linie die Chancen auf ein Aufenthaltsrecht zu erhöhen versuchen (vgl. Urteile des BVGer D-830/2016 vom 20. Juli 2016 E. 4.2 m.w.H. [als Referenzurteil publiziert] und E-6486/2018 vom 8. Dezember 2021 E. 6).</w:t>
      </w:r>
    </w:p>
    <w:p>
      <w:r>
        <w:rPr>
          <w:b/>
        </w:rPr>
        <w:t>E. 3.5</w:t>
      </w:r>
    </w:p>
    <w:p>
      <w:r>
        <w:t>Soweit aus den Akten ersichtlich, tritt der Beschwerdeführer exilpoli- tisch nur marginal in Erscheinung. So nahm er an zwei (…) im Jahre 2017 respektive 2019, an einer (…) im Jahre 2019, an einer Demonstration (…) im Jahre 2020 sowie an zwei Demonstrationen und einer Gedenkkundge- bung der PDKI im Jahre 2021 teil. Aus den eingereichten Unterlagen ist jedoch nicht ersichtlich, dass er dabei eine Tätigkeit entfaltet hätte, die über die blosse Teilnahme hinausgegangen wäre. Die Teilnahmen sind folglich als massentypisch zu bezeichnen. Seine Aktivitäten in den sozialen Medien beschränken sich – soweit er- sichtlich – auf einen Auftritt in einem Videoclip vom (…) 2021 auf (…) im Rahmen der Kampagne (…), wo er zusammen mit seinem Vater und seiner Schwester eine Erklärung vorliest, welche die Verschleppung und Hinrich- tung politischer Aktivisten im Iran anprangert und die internationale Ge- meinschaft zum Vorgehen gegen diese Menschenrechtsverletzungen auf- fordert. Aus diesem einmaligen Auftritt ergibt sich für sich allein kaum eine namhafte Akzentuierung seines politischen Profils. Zum eingereichten Bestätigungsschreiben erwog das SEM zu Recht, dass sich daraus keine Exponierung ergibt. Diesbezüglich kann vollumfänglich auf die Ausführungen in der angefochtenen Verfügung verwiesen werden.</w:t>
      </w:r>
    </w:p>
    <w:p>
      <w:r>
        <w:rPr>
          <w:b/>
        </w:rPr>
        <w:t>E. 3.6</w:t>
      </w:r>
    </w:p>
    <w:p>
      <w:r>
        <w:t>Weiter ist zu prüfen, ob der Beschwerdeführer aufgrund seiner familiä- ren Verbindungen einer Verfolgung ausgesetzt sein könnte respektive in- wiefern diese Verbindungen zu einer Schärfung seines politischen Profils beitragen könnte. Asylrelevante Nachteile im Sinne von Art. 3 AsylG kön- nen auch aus einer Reflexverfolgung (sog. Sippenhaft) entstehen, bei wel- cher sich Verfolgungsmassnahmen abgesehen von der primär betroffenen Person auch auf Familienangehörige und Verwandte erstrecken (zum Be- griff der Reflexverfolgung BVGE 2007/19 E. 3.3 S. 225, unter Hinweis auf EMARK 1994 Nr. 5 E. 3h; vgl. ausserdem BVGE 2017 VI/11 E. 4.4 S. 118). Dabei ist dies insbesondere hinsichtlich begründeter Furcht vor Verfolgung relevant. Begründete Furcht vor Verfolgung im Sinne von Art. 3 AsylG hat, wer gute – das heisst von Dritten nachvollziehbare – Gründe für seine Furcht vorweist, mit gewisser Wahrscheinlichkeit und in absehbarer</w:t>
      </w:r>
    </w:p>
    <w:p>
      <w:r>
        <w:t>D-4207/2022 Seite 10 Zukunft das Opfer von Verfolgung zu werden (vgl. BVGE 2010/57 E. 2.5, EMARK 2004 Nr. 21 E. 3b/aa, EMARK 2000 Nr. 9 E. 5a; spezifisch zur Be- deutung der Gefahr von Reflexverfolgung im Zusammenhang mit der Be- gründetheit von Furcht vor künftiger Verfolgung zudem EMARK 1998 Nr. 9 E. 7). Im iranischen Kontext ist davon auszugehen, dass Fälle von Reflexverfol- gung durchaus vorkommen. Familienangehörige von Personen, die von den Behörden in besonderer Weise oppositioneller oder staatsfeindlicher Aktivitäten verdächtigt werden und sich ins Ausland abgesetzt haben, müs- sen damit rechnen, von den iranischen Behörden gesucht, verhört und in- haftiert zu werden (vgl. Urteil des BVGer D-192/2022 vom 16. November 2022 E. 6.5 m.w.H.). Davon ist auch vorliegend auszugehen. Das Bundesverwaltungsgericht kam im Urteil D-3154/2020 vom 10. November 2020 betreffend die Schwester des Beschwerdeführers zum Schluss, dass diese sich in ver- schiedenen deutsch- und persischsprachigen Medien kritisch über das ira- nische Regime und dessen Vertreter geäussert, öffentlich über die angeb- liche Verfolgung ihrer Familie berichtet und sich zur PDKI bekannt habe. In verschiedenen Medien sei über ihre Geschichte berichtet worden und meh- rere bekannte, im Exil lebende iranische Oppositionelle hätten diese eben- falls verbreitet und sie dabei in Zusammenhang mit der Diskriminierung der Kurden im Iran und den durch das Regime begangenen Menschenrechts- verletzungen gestellt. Dadurch dürfte sie einen nicht unerheblichen Be- kanntheitsgrad erlangt haben und es sei davon auszugehen, dass sie den iranischen Behörden mittlerweile bekannt sei. Ihre Exponierung als Privat- person, die in verschiedenen klassischen und sozialen Medien auf zahlrei- chen Internetseiten oppositionelle Ansichten vertrete sowie die iranische Regierung und einzelne Führungspersonen kritisiere und aus deren Sicht öffentlich beleidige, genüge, um die Aufmerksamkeit der iranischen Behör- den auf sich zu ziehen. Es sei davon auszugehen, dass unzählige Perso- nen die Berichtserstattung über die Schwester verfolgt und diese in den sozialen Medien geteilt und weiterverbreitet hätten. Sie entfalte dadurch ein Engagement, das deutlich über dasjenige einer Person hinausgehe, die als Mitläufer im Rahmen von exilpolitischen Massenveranstaltungen in Er- scheinung trete. Es sei somit mit überwiegender Wahrscheinlichkeit davon auszugehen, dass sie von den iranischen Behörden als latente Bedrohung für das politische System im Iran wahrgenommen werde, weshalb sie be- fürchten müsste, im Falle einer Rückkehr ins Heimatland einer flüchtlings- rechtlich relevanten Gefährdung des Leibes, des Lebens und der Freiheit</w:t>
      </w:r>
    </w:p>
    <w:p>
      <w:r>
        <w:t>D-4207/2022 Seite 11 ausgesetzt zu werden (vgl. Urteil des BVGer D-3154/2020 vom 10. Novem- ber 2020 E. 6.3). Darüber hinaus bietet der Vater des Beschwerdeführers weitere, wenn auch geringfügigere Anknüpfungspunkte für eine Reflexverfolgung. So geht das SEM hinsichtlich des Vaters davon aus, dass dieser – wie auch die Schwester – die Flüchtlingseigenschaft erfülle. Diese erfülle er zwar nicht (primär) aufgrund seines exilpolitischen Wirkens, welches als nieder- schwellig zu bezeichnen sei. Vielmehr ergebe sie sich hauptsächlich aus den zusätzlichen Risikofaktoren. Nebst der Verbindung zur exilpolitisch ak- tiven Tochter (d.h. der Schwester des Beschwerdeführers) sei er den irani- schen Behörden wohl bereits vor seiner Ausreise negativ aufgefallen (vgl. Verfügung betreffend den Vater vom 17. August 2022 S. 8 ff.). Vor diesem Hintergrund ist auch im Falle des Beschwerdeführers von einer begründeten Furcht auszugehen, dass er Ziel von Reflexverfolgungshand- lungen werden könnte. Dies gilt umso mehr, als dass er gemeinsam mit seiner Schwester und seinem Vater – wenn auch sehr niederschwellig – exilpolitisch in Erscheinung getreten ist. Der Beschwerdeführer erfüllt somit die Flüchtlingseigenschaft.</w:t>
      </w:r>
    </w:p>
    <w:p>
      <w:r>
        <w:rPr>
          <w:b/>
        </w:rPr>
        <w:t>E. 4</w:t>
      </w:r>
    </w:p>
    <w:p>
      <w:r>
        <w:t>Die Beschwerde ist folglich gutzuheissen, soweit die Feststellung der Flüchtlingseigenschaft beantragt wurde. Die Dispositivziffer 1 der Verfü- gung vom 17. August 2022 ist aufzuheben und der Beschwerdeführer ist als Flüchtling anzuerkennen.</w:t>
      </w:r>
    </w:p>
    <w:p>
      <w:r>
        <w:rPr>
          <w:b/>
        </w:rPr>
        <w:t>E. 5</w:t>
      </w:r>
    </w:p>
    <w:p>
      <w:r>
        <w:t>Bei diesem Ausgang des Verfahrens sind keine Kosten zu erheben (Art. 63 Abs. 1 und 2 VwVG).</w:t>
      </w:r>
    </w:p>
    <w:p>
      <w:r>
        <w:rPr>
          <w:b/>
        </w:rPr>
        <w:t>E. 6.1</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w:t>
      </w:r>
    </w:p>
    <w:p>
      <w:r>
        <w:rPr>
          <w:b/>
        </w:rPr>
        <w:t>E. 6.2</w:t>
      </w:r>
    </w:p>
    <w:p>
      <w:r>
        <w:t>Es wurde keine Kostennote eingereicht, weshalb die notwendigen Par- teikosten aufgrund der Akten zu bestimmen sind (Art. 14 Abs. 2 in fine VGKE). Gestützt auf die in Betracht zu ziehenden Bemessungsfaktoren</w:t>
      </w:r>
    </w:p>
    <w:p>
      <w:r>
        <w:t>D-4207/2022 Seite 12 (Art. 9–13 VGKE) ist dem Beschwerdeführer zulasten der Vorinstanz eine Parteientschädigung von insgesamt Fr. 1'400.– zuzusprechen.</w:t>
      </w:r>
    </w:p>
    <w:p>
      <w:r>
        <w:t>(Dispositiv nächste Seite)</w:t>
      </w:r>
    </w:p>
    <w:p>
      <w:r>
        <w:t>D-4207/2022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