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D-4205/2011 vom 12. August 2011</w:t>
      </w:r>
    </w:p>
    <w:p>
      <w:r>
        <w:t>Bundesverwaltungsgericht, 2011-08-12, DE</w:t>
      </w:r>
    </w:p>
    <w:p>
      <w:r>
        <w:rPr>
          <w:b/>
        </w:rPr>
        <w:t xml:space="preserve">Quelle: </w:t>
      </w:r>
      <w:r>
        <w:t>https://mcp.opencaselaw.ch/entscheid/bvger_D-4205_2011</w:t>
      </w:r>
    </w:p>
    <w:p>
      <w:r>
        <w:t>FR: TAF D-4205/2011 du 12 août 2011</w:t>
      </w:r>
    </w:p>
    <w:p>
      <w:r>
        <w:t>IT: TAF D-4205/2011 del 12 agosto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Zeitpunkt der Eröffnung der angefochtenen Verfügung steht man­gels Rückscheins bei den Akten nicht fest. Da die Be­weislast für die Zustel­lung an die Partei der eröffnenden Behörde ob­liegt (vgl. Fritz Gygi, Bundesverwaltungsrechtspflege, 2. Aufl., Bern 1983, S. 61), ist zugunsten der Beschwerdeführerin davon auszu­ge­hen, dass das von ihr genannte Er­öffnungsdatum (25. Juni 2011) den Tatsachen entspricht und die am 19. Juli 2011 bei der schweizerischen Vertre­tung in Colombo formgerecht eingegangene Beschwerde rechtzeitig erfolgt ist.</w:t>
      </w:r>
    </w:p>
    <w:p>
      <w:r>
        <w:rPr>
          <w:b/>
        </w:rPr>
        <w:t>E. 1.4</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w:t>
      </w:r>
    </w:p>
    <w:p>
      <w:r>
        <w:rPr>
          <w:b/>
        </w:rPr>
        <w:t>E. 3</w:t>
      </w:r>
    </w:p>
    <w:p>
      <w:r>
        <w:t>Gestützt auf Art. 111a Abs. 1 AsylG wurde vorliegend auf die Durch­füh­rung des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5</w:t>
      </w:r>
    </w:p>
    <w:p>
      <w:r>
        <w:t>Gemäss Praxis des Bundesverwaltungsgerichts ist die asylsuchende Person im Auslandverfahren in der Regel zu befragen. Das BFM hat die Beschwerdeführerin am _______ durch die Bot­schaft befragen lassen. Den Anforderungen an das rechtli­che Gehör ist somit Rechnung getragen worden (vgl. BVGE 2007/30 E. 5 S. 362).</w:t>
      </w:r>
    </w:p>
    <w:p>
      <w:r>
        <w:rPr>
          <w:b/>
        </w:rPr>
        <w:t>E. 6.1</w:t>
      </w:r>
    </w:p>
    <w:p>
      <w:r>
        <w:t>Die Vorinstanz geht im angefochtenen Entscheid davon aus, eine be­grün­dete Furcht der Beschwerdeführerin vor ernsthaften Nachteilen im Hei­mat­land sei aktuell zu verneinen. Diese Einschätzung ist berechtigt. Ent­gegen den Beschwerdevorbringen kann den Akten nichts entnommen werden, was auf eine konkret drohende und für die Schweiz einreiserele­vante Gefährdung der Beschwerdeführerin im aktuellen Zeitpunkt hindeuten würde. Dass ihr Mann im Juni 2007 festgenommen wurde und längere Zeit inhaftiert war, ist zwar unbestritten. Gemäss dem eingereichten Anwaltsschreiben vom 30. März 2011 wurde er indes nach 18 Monaten und mithin vor mehr als zwei Jahren aus der Haft entlassen. Auch die ein- beziehungsweise zweitä­gige Haft der Beschwerdeführerin liegt nunmehr schon mehr als drei Jahre zurück. Dass sie und ihr Gatte nach den Haftentlassungen un­ter Anfeindungen litten und immer noch einer gewissen behördli­chen Observation ausgesetzt sind, mag zwar zutreffen. Allfällig an­dauernde Kontrollen durch die Sicherheitskräfte müssen indes vor dem Hintergrund der weiterhin angespannten Lage in Sri Lanka gesehen wer­den. Die Sicherheitsmassnahmen wurden nach dem militärischen Sieg der srilankischen Armee über die LTTE im Mai 2009 nur langsam gelo­ckert; Notstandsgesetze (Emergency Rules) und das Anti-Terror-Gesetz (Prevention of Terrorism Act) blieben - wie von der Beschwerdeführerin er­wähnt - in Kraft. Das BFM weist indes zurecht darauf hin, dass die von der Beschwerdeführerin geschilderten Nachteile und Anfeindungen in der geltend gemachten Form mangels Verfolgungsinten­sität keinen ernsthaften Nachteil im Sinne des Asylgesetzes ausmachen. Aus den Akten geht im Übrigen hervor, dass die Beschwerdeführerin offensichtlich kein eigenes politisches Profil auf­weist und gegen sie kein Gerichtsverfahren eröffnet wurde (Befragungspro­tokoll S. 5 ff.). Auch vor diesem Hintergrund erscheint eine zielge­richtete Vorgehensweise der Behörden ge­gen die Beschwerdeführe­rin wegen der geschilderten Umstände im Sinne drohen­der ernsthafter Nachteile nicht als beachtlich wahrschein­lich. Die eingereichten Beweismittel, welche sich auf nicht be­strittene Sachverhaltselemente beziehen, führen zu keiner anderen Einschät­zung. In der Rekurseingabe beschränkt sich die Beschwerdeführe­rin im Wesentlichen darauf, ihre Gefährdung als Tamilin im Lichte der vorgebrachten Ereignisse erneut darzulegen. Stichhaltige Ar­gumente für die Annahme, sie sei entgegen der vorinstanzlichen Erwä­gungen in ausreiserelevantem Ausmass gefährdet, können der Eingabe in­des nicht entnommen werden.</w:t>
      </w:r>
    </w:p>
    <w:p>
      <w:r>
        <w:rPr>
          <w:b/>
        </w:rPr>
        <w:t>E. 6.2</w:t>
      </w:r>
    </w:p>
    <w:p>
      <w:r>
        <w:t>Die Beschwerdeführerin vermag mithin nicht substanziiert dar­zutun, in­wiefern das BFM zu Unrecht geschlossen habe, sie sei nicht schutzbedürf­tig im Sinne des Asylgesetzes.</w:t>
      </w:r>
    </w:p>
    <w:p>
      <w:r>
        <w:rPr>
          <w:b/>
        </w:rPr>
        <w:t>E. 7</w:t>
      </w:r>
    </w:p>
    <w:p>
      <w:r>
        <w:t>Zusammenfassend ist festzustellen, dass die Beschwerdeführerin keine Ge­fährdung im Sinne von Art. 3 AsylG glaubhaft machen konnte. Auf­grund der vor­stehenden Erwägungen erübrigt es sich, auf die weiteren Aus­führungen in der Beschwerde und die im vorinstanzlichen Verfahren ein­gereichten Beweismittel detaillierter ein­zugehen, da sie am festgestell­ten Ergebnis nichts zu ändern vermö­gen.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9</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