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D-4200/2014 vom 29. Oktober 2014</w:t>
      </w:r>
    </w:p>
    <w:p>
      <w:r>
        <w:t>Bundesverwaltungsgericht, 2014-10-29, DE</w:t>
      </w:r>
    </w:p>
    <w:p>
      <w:r>
        <w:rPr>
          <w:b/>
        </w:rPr>
        <w:t xml:space="preserve">Quelle: </w:t>
      </w:r>
      <w:r>
        <w:t>https://mcp.opencaselaw.ch/entscheid/bvger_D-4200_2014</w:t>
      </w:r>
    </w:p>
    <w:p>
      <w:r>
        <w:t>FR: TAF D-4200/2014 du 29 octobre 2014</w:t>
      </w:r>
    </w:p>
    <w:p>
      <w:r>
        <w:t>IT: TAF D-4200/2014 del 29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4.4</w:t>
      </w:r>
    </w:p>
    <w:p>
      <w:r>
        <w:t>Die soeben aufgeführten Kriterien der Glaubhaftmachung sind mit Blick auf die Asylvorbringen des Beschwerdeführers nicht als erfüllt zu erachten. Dabei ist in Übereinstimmung mit den Ausführungen des BFM in der angefochtenen Verfügung festzustellen, dass die vom Beschwerdeführer im Rahmen der vorinstanzlichen Befragungen zu seinen Fluchtgründen gemachten Angaben erhebliche Widersprüche und sonstige Unstimmigkeiten aufweisen. So gab er anlässlich der Erstbefragung zu Protokoll, er habe nach seiner Rückkehr nach Afghanistan in seiner Heimatregion versucht, die Bevölkerung und ehemalige Generäle im Kampf gegen die Taliban auf seine Seite zu bringen. Er habe in der Region viel Einfluss, und die Taliban hätten ihn als Drahtzieher der Protestbewegung erkannt, weshalb sie ihn mit dem Tod bedroht hätten. In offensichtlicher Abweichung dazu führte er im Rahmen seiner eingehenden Anhörung aus, persönlich sei er gegen den Widerstand gegen die Taliban gewesen. Er habe zwar einer kleinen Widerstandsgruppe erlaubt, in seinem Haus insgesamt vier Sitzungen abzuhalten. Die Organisatoren dieser Bewegung seien aber andere gewesen, während er selbst nur als Beobachter gewirkt habe. Die Aussagen des Beschwerdeführers weisen weitere Widersprüche auf, die insgesamt zur Einschätzung führen, er habe sich anlässlich der eingehenden Anhörung nicht mehr im Detail an seine Angaben bei der Erstbefragung erinnern können, beziehungsweise er habe die entsprechenden Aussagen frei erfunden. So gab er bei der Erstbefragung an, er sei Schweisser und habe sowohl im Iran als auch in Pakistan als solcher gearbeitet. Demgegenüber gab er bei der eingehenden Anhörung zu Protokoll, er habe seinen Lebensunterhalt in Pakistan mit der Führung eines eigenen Restaurants verdient, wobei er sogar den Namen des angeblichen Restaurants und dessen Adresse in der Stadt Quetta anführte. Es erübrigt sich, auf weitere Ungereimtheiten in den Aussagen des Beschwerdeführers einzugehen, die ebenfalls gegen die Glaubhaftigkeit der hauptsächlichen Asylvorbringen sprechen. Vor dem Hintergrund der offensichtlichen Unglaubhaftigkeit der Aussagen ist ausserdem festzuhalten, dass bezüglich der eingereichten Beweismittel, welche in der Form von Drohbriefen der Taliban beziehungsweise einem Fahndungsaufruf einer afghanischen Partei die Gefährdung des Beschwerdeführers belegen sollen, mit weit überwiegender Wahrscheinlichkeit von Fälschungen auszugehen ist. In diesem Zusammenhang ist ferner nicht ersichtlich, inwiefern den auf der eingereichten Speicherkarte enthaltenen Texten, bei welchen es sich um politische Reden des Beschwerdeführers handeln soll, ein konkreter Beweiswert zukommen könnte. Schliesslich ist auch nicht als glaubhaft zu erachten, dass der Beschwerdeführer zum heutigen Zeitpunkt in Afghanistan seitens eines hochrangigen Regierungsvertreters bedroht sein soll, weil er diesem im Jahr 1996 die Unterstützung bei der Liquidierung politischer Gegner verweigert habe. Vielmehr ist davon auszugehen, dass der Beschwerdeführer vor seiner Einreise in die Schweiz zwar während einiger Jahre im Iran und in Pakistan lebte, sich aber mit überwiegender Wahrscheinlichkeit nicht, wie behauptet, im Jahr 2012 während einiger Monate in seinem Heimatstaat aufhielt. Auch die Ausführungen in der Beschwerdeschrift sind nicht geeignet, die Beurteilung der Glaubhaftigkeit der Asylvorbringen massgeblich zu beeinflussen.</w:t>
      </w:r>
    </w:p>
    <w:p>
      <w:r>
        <w:rPr>
          <w:b/>
        </w:rPr>
        <w:t>E. 4.5</w:t>
      </w:r>
    </w:p>
    <w:p>
      <w:r>
        <w:t>Aus dem Gesagten ergibt sich, dass das BFM zutreffenderweise zur Einschätzung gelangt ist, die Vorbringen des Beschwerdeführers seien nicht glaubhaft. Das Bundesamt hat folglich sein Asylgesuch zu Recht abgelehnt.</w:t>
      </w:r>
    </w:p>
    <w:p>
      <w:r>
        <w:rPr>
          <w:b/>
        </w:rPr>
        <w:t>E. 5</w:t>
      </w:r>
    </w:p>
    <w:p>
      <w:r>
        <w:t>Des Weiteren wurde, da der Beschwerdeführer weder über eine ausländerrechtliche Aufenthaltsbewilligung noch über einen Anspruch auf Erteilung einer solchen verfügt, auch dessen Wegweisung zu Recht angeordnet (Art. 44 Abs. 1 AsylG; vgl. auch BVGE 2009/50 E. 9 S. 733 m.w.N. sowie EMARK 2001 Nr. 21).</w:t>
      </w:r>
    </w:p>
    <w:p>
      <w:r>
        <w:rPr>
          <w:b/>
        </w:rPr>
        <w:t>E. 6</w:t>
      </w:r>
    </w:p>
    <w:p>
      <w:r>
        <w:t>Aus den angestellten Erwägungen ergibt sich, dass die - einzig in den Ziffern 1-3 des Dispositivs angefochtene - Verfügung Bundesrecht nicht verletzt sowie den rechtserheblichen Sachverhalt richtig und vollständig feststellt (Art. 106 AsylG). Die Beschwerde ist folglich abzuweisen.</w:t>
      </w:r>
    </w:p>
    <w:p>
      <w:r>
        <w:rPr>
          <w:b/>
        </w:rPr>
        <w:t>E. 7</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