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D-419/2022 vom 19. Januar 2022</w:t>
      </w:r>
    </w:p>
    <w:p>
      <w:r>
        <w:t>Bundesverwaltungsgericht, 2022-01-19, DE</w:t>
      </w:r>
    </w:p>
    <w:p>
      <w:r>
        <w:rPr>
          <w:b/>
        </w:rPr>
        <w:t xml:space="preserve">Quelle: </w:t>
      </w:r>
      <w:r>
        <w:t>https://mcp.opencaselaw.ch/entscheid/bvger_D-419_2022_d20220119</w:t>
      </w:r>
    </w:p>
    <w:p>
      <w:r>
        <w:t>FR: TAF D-419/2022 du 19 janvier 2022</w:t>
      </w:r>
    </w:p>
    <w:p>
      <w:r>
        <w:t>IT: TAF D-419/2022 del 19 gennaio 2022</w:t>
      </w:r>
    </w:p>
    <w:p>
      <w:pPr>
        <w:pStyle w:val="Heading2"/>
      </w:pPr>
      <w:r>
        <w:t>Regeste</w:t>
      </w:r>
    </w:p>
    <w:p>
      <w:r>
        <w:t>Nichteintreten auf Asylgesuch und Wegweisung (Dublin-Verfahren) | Nichteintreten auf Asylgesuch und Wegweisung (Dublin-Verfahren); Verfügung des SEM vom 19. Januar 2022</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Gerichts und die zulässigen Rügen richten sich im Asylbereich nach Art. 106 Abs. 1 AsylG (vgl. BVGE 2014/26 E. 5).</w:t>
      </w:r>
    </w:p>
    <w:p>
      <w:r>
        <w:rPr>
          <w:b/>
        </w:rPr>
        <w:t>E. 1.4</w:t>
      </w:r>
    </w:p>
    <w:p>
      <w:r>
        <w:t>Die Beschwerdeführenden sind legitimiert (Art. 48 Abs.1 VwVG) und die Beschwerde wurde frist- und formgerecht eingereicht (Art. 108 Abs. 3 AsylG; Art. 52 Abs. 1 VwVG), womit auf die Beschwerde einzutreten ist.</w:t>
      </w:r>
    </w:p>
    <w:p>
      <w:r>
        <w:rPr>
          <w:b/>
        </w:rPr>
        <w:t>E. 2.1</w:t>
      </w:r>
    </w:p>
    <w:p>
      <w:r>
        <w:t>Die Beschwerdeführenden machen vorab eine Verletzung des in Art. 29 Abs. 2 BV verankerten und in Art. 29 ff. VwVG konkretisierten An- spruchs auf das rechtliche Gehör geltend. Dabei wird geltend gemacht, die angefochtene Verfügung sei aufzuheben und die Sache an die Vorinstanz zurückzuweisen, weil das SEM den Untersuchungsgrundsatz nach Art. 12 VwVG und Art. 6 AsylG verletzt habe, indem es nicht alle für den Entscheid wesentlichen Umstände von Amtes wegen abgeklärt habe. So habe es na- mentlich den medizinischen Sachverhalt gemäss Art. 26a AsylG nicht hin- reichend abgeklärt, indem es die von ihrer Rechtsvertreterin anlässlich der Dublin-Gespräche beantragte psychologische Abklärung aller drei Kinder nicht veranlasst habe. Das SEM habe damit auch Art. 24 des Übereinkom- mens vom 20. November 1989 über die Rechte des Kindes (KRK, SR 0.107) verletzt.</w:t>
      </w:r>
    </w:p>
    <w:p>
      <w:r>
        <w:rPr>
          <w:b/>
        </w:rPr>
        <w:t>E. 2.2</w:t>
      </w:r>
    </w:p>
    <w:p>
      <w:r>
        <w:t>Das Vorbringen überzeugt jedoch nicht, da sich den Akten nicht genü- gend Hinweise auf ernsthafte psychische Beschwerden der Kinder entneh- men lassen. Alle Familienmitglieder hatten Kontakt mit dem medizinischen Personal des BAZ F._______. Ernsthafte psychische Probleme wurden da- bei jedoch offenbar nicht geltend gemacht. Die Meldung von Schulprob- leme des erst (…)-jährigen Kindes D._______, mithin dessen erkennbare Ablehnung der Schule, stellt offensichtlich ebenfalls nichts dar, was objektiv als gewichtig erscheinen würde. Vonseiten der Beschwerdeführenden wird</w:t>
      </w:r>
    </w:p>
    <w:p>
      <w:r>
        <w:t>D-419/2022 Seite 7 auch auf Beschwerdeebene nichts Konkretes eingebracht. Damit ist nichts ersichtlich, was noch abzuklären wäre.</w:t>
      </w:r>
    </w:p>
    <w:p>
      <w:r>
        <w:rPr>
          <w:b/>
        </w:rPr>
        <w:t>E. 2.3</w:t>
      </w:r>
    </w:p>
    <w:p>
      <w:r>
        <w:t>Da nach dem Gesagten keine Gehörsrechtsverletzung erkennbar ist und vorliegend auch kein Bedarf an weiteren Sachverhaltsabklärungen be- steht, fällt die beantragte Rückweisung der Sache ausser Betracht. Das Gericht hat demnach in der Sache zu entscheide (Art. 61 Abs. 1 VwVG).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 und damit in der Konstellation wie vorliegend – findet grundsätzlich keine (neue) Zu- ständigkeitsprüfung nach Kapitel III Dublin-III-VO mehr statt (vgl. zum Gan- zen BVGE 2017 VI/5 E. 6.2 und 8.2.1)</w:t>
      </w:r>
    </w:p>
    <w:p>
      <w:r>
        <w:rPr>
          <w:b/>
        </w:rPr>
        <w:t>E. 3.3</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durch Art. 29a Abs. 3 AsylV 1 konkretisiert. Ge- mäss dieser Bestimmung kann das SEM das Asylgesuch aus humanitären Gründen auch dann behandeln, wenn dafür gemäss Dublin-III-VO ein an- derer Staat zuständig wäre. Nach der Konzeption des Gesetzes kommt dem SEM bei der Frage der Anwendung von Art. 29a Abs. 3 AsylV 1 ein Ermessensspielraum zu (vgl. BVGE 2015/9 E. 8.2.2). Liegen hingegen in- dividuelle völkerrechtliche Überstellungshindernisse vor, ist der Selbstein- tritt zwingend (vgl. BVGE 2015/9 E. 8.2.1 und 2011/9 E. 4.1 m.w.H.).</w:t>
      </w:r>
    </w:p>
    <w:p>
      <w:r>
        <w:t>D-419/2022 Seite 8</w:t>
      </w:r>
    </w:p>
    <w:p>
      <w:r>
        <w:rPr>
          <w:b/>
        </w:rPr>
        <w:t>E. 4.1</w:t>
      </w:r>
    </w:p>
    <w:p>
      <w:r>
        <w:t>Aufgrund der Akten ist erstellt, dass die Beschwerdeführenden in Kro- atien Asylgesuche gestellt haben. Kroatien hat sich sodann auf das frist- und formgerechte Ersuchen des SEM (vgl. dazu Art. 23 Abs. 1–4 Dublin- III-VO) zur Wiederaufnahme der Beschwerdeführenden gemäss Art. 18 Abs. 1 Bst. b Dublin-III-VO bereit erklärt. Damit ist die Zuständigkeit Kroati- ens und die Grundlage für einen Nichteintretensentscheid in Anwendung von Art. 31a Abs. 1 Bst. b AsylG grundsätzlich gegeben.</w:t>
      </w:r>
    </w:p>
    <w:p>
      <w:r>
        <w:rPr>
          <w:b/>
        </w:rPr>
        <w:t>E. 4.2</w:t>
      </w:r>
    </w:p>
    <w:p>
      <w:r>
        <w:t>Die Beschwerdeführenden machen jedoch geltend, sie würden zur Gruppe der vulnerablen Personen zählen. Dieses Vorbringen erscheint als durchaus berechtigt, da sie als Familie mit drei Kindern im Alter von erst (…), (…) und (…) Jahren durchaus dieser Gruppe zuzurechnen sind. Sie verlangen vor diesem Hintergrund einen Selbsteintritt auf ihre Gesuche nach Art. 17 Abs. 1 Dublin-III-VO, da nicht davon ausgegangen werden könne, dass sie in Kroatien einer Struktur zugewiesen würde, in welcher ihnen neben einer genügenden Unterkunft auch eine medizinische Be- handlung garantiert sei, welche ihren Bedürfnissen entspreche. Zur Stüt- zung dieses Vorbringen verweisen sie zur Hauptsache auf ihre bisher in Kroatien gemachten Erfahrungen. Die Erwägungen des SEM dazu, dass im Falle von Dublin-Rückkehrenden jedenfalls noch kein Fall bekannt sei, in welchen die Betroffenen Personen nicht einer genügenden Struktur zu- gewiesen worden wäre, lassen sie nicht geltend respektive erklären sie im Wesentlichen als nicht überzeugend und ungenügend.</w:t>
      </w:r>
    </w:p>
    <w:p>
      <w:r>
        <w:rPr>
          <w:b/>
        </w:rPr>
        <w:t>E. 4.3</w:t>
      </w:r>
    </w:p>
    <w:p>
      <w:r>
        <w:t>Systematische Schwachstellen im Sinne von Art. 3 Abs. 2 Dublin-III-VO sind bei Kroatien praxisgemäss auszuschliessen. Kroatien ist Signatarstaat der EMRK (SR 0.101), des Übereinkommens vom 10. Dezember 1984 ge- gen Folter und andere grausame, unmenschliche oder erniedrigende Be- handlung oder Strafe (FoK, SR 0.105) und des Abkommens vom 28. Juli 1951 über die Rechtsstellung der Flüchtlinge (FK, SR 0.142.30) sowie des Zusatzprotokolls der FK vom 31. Januar 1967 (SR 0.142.301), wobei Kro- atien nach Auffassung der Schweiz seinen diesbezüglichen völkerrechtli- chen Verpflichtungen grundsätzlich nachkommt. Die Schweiz geht gleich- zeitig davon aus, Kroatien anerkenne und schütze grundsätzlich die Rechte, die sich für Schutzsuchende aus den Richtlinien des Europäischen Parlaments und des Rates 2013/32/EU vom 26. Juni 2013 zu gemeinsa- men Verfahren für die Zuerkennung und Aberkennung des internationalen Schutzes (sog. Verfahrensrichtlinie) und 2013/33/EU vom 26. Juni 2013 zur Festlegung von Normen für die Aufnahme von Personen, die internati- onalen Schutz beantragen (sog. Aufnahmerichtlinie), ergeben. Zwar sieht</w:t>
      </w:r>
    </w:p>
    <w:p>
      <w:r>
        <w:t>D-419/2022 Seite 9 sich Kroatien schon seit geraumer Zeit wegen sogenannten Push-Backs an der Grenze mit teils schweren Vorwürfen konfrontiert, worauf sich die Beschwerdeführenden ausdrücklich berufen. Diese Vorwürfe beziehen sich jedoch primär auf das Verhalten des Landes an seiner Aussengrenze zu Bosnien und Herzegowina und zu Serbien. Damit ist aber nichts zur vorliegend interessierenden Situation der Rückkehr nach Kroatien nach Durchlaufen eines Dublin-Verfahrens gesagt, worauf das SEM in seinen ausführlichen Erwägungen zur Sache zur Recht verwiesen hat.</w:t>
      </w:r>
    </w:p>
    <w:p>
      <w:r>
        <w:rPr>
          <w:b/>
        </w:rPr>
        <w:t>E. 4.4</w:t>
      </w:r>
    </w:p>
    <w:p>
      <w:r>
        <w:t>In dieser Hinsicht sind vorliegend auch bezogen auf den Einzelfall keine Sachverhaltsumstände ersichtlich gemacht, welche die vorinstanzli- chen Feststellungen und Schlüsse betreffend das Vorhandensein von ge- nügenden Aufenthaltsstrukturen massgeblich erschüttern könnten (vgl. Referenzurteil des Bundesverwaltungsgerichts E-3078/2019 vom 12. Juli 2019 E. 5.5–5.8). Es darf im Falle der Beschwerdeführenden davon aus- gegangen werden, dass auch sie Zugang zu diesen Strukturen finden. Die Beschwerdeführenden sind jedoch gehalten, sich anlässlich ihrer Rück- kehr auch an die in Kroatien zuständigen Behörden zu wenden, um ihre Rechte wahrzunehmen. Dies ist ihnen durchaus zuzumuten. Aus dem Um- stand, dass sie anlässlich ihres letzten Aufenthaltes in Kroatien offenkundig den dortigen Strukturen ausweichen wollten, da sie eine möglichst rasche Weiterreise anstrebten, können sie im vorliegenden Verfahren nichts für sich ableiten. Ihre Rechtsvertretung geht fehl, wenn sie das damalige Ver- halten ihr Mandanten als Beleg dafür anführen will, dass die Beschwerde- führenden in Kroatien eben auch zukünftig nicht mit Unterstützung rechnen könnten (vgl. dazu beispielsweise die Urteile des BVGer F-1275/2021 vom 19. Mai 2021 E. 7.1.2; F-1182/2021 vom 24. März 2021 E. 5.2.2; D-644/2021 vom 18. Februar 2021 E. 7.2.2; E-5910/2020 vom 10. Dezem- ber 2020 E. 7.2 und F-5436/2020 vom 10. November 2020 E. 5.2).</w:t>
      </w:r>
    </w:p>
    <w:p>
      <w:r>
        <w:rPr>
          <w:b/>
        </w:rPr>
        <w:t>E. 4.5</w:t>
      </w:r>
    </w:p>
    <w:p>
      <w:r>
        <w:t>Das SEM hat schliesslich die Vorbringen der Beschwerdeführenden auch unter dem Aspekt der humanitären Gründe nach Art. 29a Abs. 3 AsylV 1 hinreichend gewürdigt. Zwar ist einzuräumen, dass es sich bei der Familie mit kleinen Kindern um vulnerable Personen handelt. Es gibt je- doch keine konkreten Hinweise darauf, dass diesem Umstand bei der Un- terbringung in Kroatien nicht genügend Rechnung getragen würde. Auch die gesundheitliche Situation der Beschwerdeführenden lässt dies nicht in einem anderen Licht erscheinen, ergeben sich doch aus den Akten keine ernsthaften gesundheitlichen Probleme. Diesbezüglich hat die Vorinstanz zu Recht festgestellt, dass Kroatien über eine ausreichende medizinische Infrastruktur verfügt. Die Mitgliedstaten sind verpflichtet, den Antragstellern</w:t>
      </w:r>
    </w:p>
    <w:p>
      <w:r>
        <w:t>D-419/2022 Seite 10 die erforderliche medizinische Versorgung, die zumindest die Notversor- gung und die unbedingt erforderliche Behandlung von Krankheiten und schweren psychischen Störungen umfasst, zugänglich zu machen (Art. 19 Abs. 1 Aufnahmerichtlinie). Schliesslich zielen auch die Ausführungen auf Beschwerdeebene bezüglich des Kindeswohls ins Leere, zumal sich die Familie erst seit wenigen Monaten in der Schweiz aufhält und im Familien- verband nach Kroatien reisen wird. Da die diesbezügliche Auseinanderset- zung der Vorinstanz insgesamt nicht zu bemängeln sind, hält die angefoch- tene Verfügung auch unter dieser Optik einer Prüfung stand (vgl. zum Gan- zen BVGE 2015/9). Das Vorbringen der Beschwerdeführenden über das Vorliegen einer angeblich rechtserheblichen Ermessensunterschreitung (gemäss der Beschwerde-Ziffer 14 f.), da sich das SEM nicht hinreichend mit dieser Frage auseinandergesetzt habe, vermag nicht zu überzeugen.</w:t>
      </w:r>
    </w:p>
    <w:p>
      <w:r>
        <w:rPr>
          <w:b/>
        </w:rPr>
        <w:t>E. 4.6</w:t>
      </w:r>
    </w:p>
    <w:p>
      <w:r>
        <w:t>Zusammenfassend liegt auch kein Grund für die Anwendung der Er- messensklausel von Art. 17 Dublin-III-VO beziehungsweise Art. 29a Abs. 3 AsylV 1 vor. Weder ist die Schweiz völkerrechtlich verpflichtet, auf das Asyl- gesuch einzutreten, noch liegen humanitäre Gründe vor, welche einen Selbsteintritt nahelegen würden. Das SEM ist daher zu Recht auf das Asyl- gesuch der Beschwerdeführerinnen nicht eingetreten und hat die Überstel- lung nach Kroatien angeordnet.</w:t>
      </w:r>
    </w:p>
    <w:p>
      <w:r>
        <w:rPr>
          <w:b/>
        </w:rPr>
        <w:t>E. 5</w:t>
      </w:r>
    </w:p>
    <w:p>
      <w:r>
        <w:t>Nach dem Gesagten ergibt sich, dass die angefochtene Verfügung Bun- desrecht nicht verletzt, den rechtserheblichen Sachverhalt richtig sowie vollständig feststellt (Art. 106 Abs. 1 AsylG) und – soweit diesbezüglich überprüfbar – angemessen ist. Die Beschwerde ist daher abzuweisen.</w:t>
      </w:r>
    </w:p>
    <w:p>
      <w:r>
        <w:rPr>
          <w:b/>
        </w:rPr>
        <w:t>E. 6</w:t>
      </w:r>
    </w:p>
    <w:p>
      <w:r>
        <w:t>Bei diesem Ausgang des Verfahrens wären die Kosten grundsätzlich den Beschwerdeführenden aufzuerlegen (Art. 63 Abs. 1 VwVG). Nachdem der mit Zwischenverfügung vom 8. Februar 2022 erfolgten Gewährung der un- entgeltlichen Rechtspflege (in Sinne von Art. 65 Abs. 1 VwVG) sind keine Verfahrenskosten zu erheben.</w:t>
      </w:r>
    </w:p>
    <w:p>
      <w:r>
        <w:t>(Dispositiv nächste Seite)</w:t>
      </w:r>
    </w:p>
    <w:p>
      <w:r>
        <w:t>D-419/2022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