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D-4194/2023 vom 21. August 2023</w:t>
      </w:r>
    </w:p>
    <w:p>
      <w:r>
        <w:t>Bundesverwaltungsgericht, 2023-08-21, FR</w:t>
      </w:r>
    </w:p>
    <w:p>
      <w:r>
        <w:rPr>
          <w:b/>
        </w:rPr>
        <w:t xml:space="preserve">Quelle: </w:t>
      </w:r>
      <w:r>
        <w:t>https://mcp.opencaselaw.ch/entscheid/bvger_D-4194_2023</w:t>
      </w:r>
    </w:p>
    <w:p>
      <w:r>
        <w:t>FR: TAF D-4194/2023 du 21 août 2023</w:t>
      </w:r>
    </w:p>
    <w:p>
      <w:r>
        <w:t>IT: TAF D-4194/2023 del 21 agosto 2023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juillet 2013),</w:t>
      </w:r>
    </w:p>
    <w:p>
      <w:r>
        <w:t>D-4194/2023 Page 9 que l’ensemble de son réseau familial, en particulier ses parents, se trouve encore en Turquie, que l'exécution du renvoi est enfin possible (art. 83 al. 2 LEI ; ATAF 2008/34 consid. 12 et jurisp. cit.), le recourant étant tenu de collaborer à l'obtention de documents de voyage lui permettant de retourner dans son pays d'origine (art. 8 al. 4 LAsi), que dès lors, la décision attaquée ne viole pas le droit fédéral, a établi de manière exacte et complète l'état de fait pertinent (art. 106 al. 1 LAsi) et, dans la mesure où ce grief peut être examiné (art. 49 PA, cf. ATAF 2014/26 consid. 5), n'est pas inopportune, qu'en conséquence, le recours est rejeté, que s'avérant manifestement infondé, il l'est dans une procédure à juge unique, avec l'approbation d'un second juge (art. 111 let. e LAsi), que par le présent prononcé, la demande de dispense d’avance de frais de procédure est sans objet, que dans la mesure où les conclusions du recours étaient d’emblée vouées à l’échec, la requête d’assistance judiciaire totale est rejetée, l’une au moins des conditions cumulatives à l’art. 65 al. 1 PA n’étant pas satisfaite, que compte de l'issue de la cause, il y a lieu de mettre les frais de procédure d’un montant de 750 francs à la charge du recourant, conformément aux art. 63 al. 1 PA ainsi que 2 et 3 let. a du règlement du 21 février 2008 concernant les frais, dépens et indemnités fixés par le Tribunal administratif fédéral (FITAF, RS 173.320.2),</w:t>
      </w:r>
    </w:p>
    <w:p>
      <w:r>
        <w:t>(dispositif page suivante)</w:t>
      </w:r>
    </w:p>
    <w:p>
      <w:r>
        <w:t>D-4194/2023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