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D-4191/2016 vom 12. Juli 2016</w:t>
      </w:r>
    </w:p>
    <w:p>
      <w:r>
        <w:t>Bundesverwaltungsgericht, 2016-07-12, DE</w:t>
      </w:r>
    </w:p>
    <w:p>
      <w:r>
        <w:rPr>
          <w:b/>
        </w:rPr>
        <w:t xml:space="preserve">Quelle: </w:t>
      </w:r>
      <w:r>
        <w:t>https://mcp.opencaselaw.ch/entscheid/bvger_D-4191_2016</w:t>
      </w:r>
    </w:p>
    <w:p>
      <w:r>
        <w:t>FR: TAF D-4191/2016 du 12 juillet 2016</w:t>
      </w:r>
    </w:p>
    <w:p>
      <w:r>
        <w:t>IT: TAF D-4191/2016 del 12 luglio 2016</w:t>
      </w:r>
    </w:p>
    <w:p>
      <w:pPr>
        <w:pStyle w:val="Heading2"/>
      </w:pPr>
      <w:r>
        <w:t>Regeste</w:t>
      </w:r>
    </w:p>
    <w:p>
      <w:r>
        <w:t>Flughafenverfahren (Asyl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 Der Beschwerdeführer ist als Verfügungsadressat zur Beschwerdeführung legitimiert (Art. 48 Abs. 1 VwVG). Auf die frist- und formgerecht eingereichte Beschwerde (Art. 108 Abs. 2 AsylG und Art. 52 Abs. 1 VwVG) ist einzutreten.</w:t>
      </w:r>
    </w:p>
    <w:p>
      <w:r>
        <w:rPr>
          <w:b/>
        </w:rPr>
        <w:t>E. 1.2</w:t>
      </w:r>
    </w:p>
    <w:p>
      <w:r>
        <w:t>Das Bundesverwaltungsgericht überprüft die angefochtene Verfügung auf Verletzung von Bundesrecht und unrichtige oder unvollständige Feststellung des rechtserheblichen Sachverhalts (Art. 106 Abs. 1 AsylG) sowie im Anwendungsbereich des AuG (SR 142.20) auf Unangemessenheit hin (Art. 49 VwVG).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4.1</w:t>
      </w:r>
    </w:p>
    <w:p>
      <w:r>
        <w:t>In der Rechtsmitteleingabe wird im Wesentlichen geltend gemacht, es könne davon ausgegangen werden, dass das gegen den Beschwerdeführer gerichtete türkische Strafurteil unter gravierender Verletzung menschen- und verfahrensrechtlicher Grundsätze ergangen sei. Hinzu komme, dass die zuständigen Richter, welche den Beschuldigten verurteilt hätten, heute selber in Verfahren wegen Amtsmissbrauchs verwickelt seien, was ein weiteres Indiz dafür sei, dass dem Beschwerdeführer in gravierender Weise menschenrechtliche Garantien vorenthalten worden seien. Der Nachweis zu diesen Verfahren könne mittels Unterlagen von türkischen Anwälten erbracht werden. Diese Unterlagen würden dem Gericht sofort nach Eingang übermittelt. Vorliegend handle es sich um eine äusserst schwere Strafe, die aufgrund dessen, dass der Beschwerdeführer am Vorfall, der zur Strafe geführt habe, nicht einmal anwesend gewesen sein wolle, umso schwerer wiege. Die Frage stehe im Raum, ob es sich hierbei nicht doch um eine politisch motivierte Verurteilung gehandelt haben könnte, zumal der Beschwerdeführer kurdischer Ethnie sei. Das SEM habe die eingereichten Unterlagen nur summarisch und oberflächlich eingesehen. So habe es die das Strafverfahren betreffenden türkischen Dokumente, welche der Beschwerdeführer in einem Ordner übergeben habe, nur vereinzelt übersetzen und in den Entscheid einfliessen lassen. Selbst wenn der Beschwerdeführer angebe, in der Türkei keine politischen Tätigkeiten ausgeübt zu haben, sei es bei ihm als Angehöriger der kurdischen Ethnie nicht ausgeschlossen, dass er im Strafvollzug Misshandlungen erleide. Im Weiteren sei auch nicht klar, ob über ihn eine Fiche angelegt worden sei. Der Beschwerdeführer erfülle die Flüchtlingseigenschaft, weshalb ihm in der Schweiz entsprechend Schutz gewährt werden müsse. Sofern das Gericht die Flüchtlingseigenschaft nicht als erfüllt erachten sollte, so habe es die Sache an das SEM zurückzuweisen. Insbesondere seien die eingereichten Dokumente in die deutsche Sprache zu übersetzen oder übersetzen zu lassen. Das SEM habe den Anspruch des Beschwerdeführers auf rechtliches Gehör verletzt, indem es dies unterlassen habe.</w:t>
      </w:r>
    </w:p>
    <w:p>
      <w:r>
        <w:rPr>
          <w:b/>
        </w:rPr>
        <w:t>E. 4.2.1</w:t>
      </w:r>
    </w:p>
    <w:p>
      <w:r>
        <w:t>Eine eingehende Durchsicht der vorliegenden Akten ergibt, dass die auf Beschwerdeebene geäusserten Vorbringen nicht geeignet sind, die Erwägungen in der angefochtenen Verfügung umzustossen. Der Beschwerdeführer gibt an, man habe ihn ungerechterweise wegen Freiheitsberaubung und sexueller Übergriffe zu mehr als 16 Jahren Freiheitsstrafe verurteilt. Aufgrund seiner Zugehörigkeit zur kurdischen Ethnie sei nicht ausgeschlossen, dass es sich hierbei um eine politisch motivierte Verurteilung gehandelt haben könnte. Seinen Ausführungen ist jedoch keine plausible Begründung zu entnehmen, weshalb er von einem Zusammenhang zwischen seiner ethnischen Zugehörigkeit und seiner Verurteilung ausgeht. So antwortete er auf die Frage, ob er eine Erklärung dafür habe, warum er als unschuldige Person verurteilt worden sei, lediglich dahingehend, dass die türkische Justiz anders und nicht korrekt arbeite; wenn man keine guten Beziehungen habe, könne man auch wegen unwahrer Vorwürfe verurteilt werden (vgl. Anhörungsprotokoll vom 24. Juni 2016, A18 S. 4 F17). Auch auf die Frage der Hilfswerksvertretung hin, ob er sich erklären könne, weshalb man ihm angeblich etwas anhängen möchte, ob er Probleme mit jemandem gehabt habe, erwiderte er, D._______ sei eine kleine Ortschaft, wo sich alle Leute kennen würden; er könne sich nur wiederholen; da F._______ sein Pate sei, sei er auch wegen ihm beschuldigt worden, was aber nur eine Annahme sei (vgl. A18 S. 5 F26). Er wisse nicht, ob seine kurdische Abstammung sein Urteil beeinflusst habe (vgl. A18 S. 6 F31). Im Weiteren lässt die Tatsache, dass es sich bei den Mitangeklagten beziehungsweise seinen Kollegen F._______ und G._______ um ethnische Türken handeln soll (vgl. Anhörungsprotokoll vom 17. Juni 2016, A17 S. 9 F69-71; A18 S. 6 F32), welche zur gleichen Strafe wie er verurteilt wurden, kein Zusammenhang zwischen der Zugehörigkeit des Beschwerdeführers zur kurdischen Ethnie und seiner Verurteilung erkennen. Auch aufgrund des Umstands, wonach gemäss dem Schweizerischen Strafgesetzbuch (StGB) der Strafrahmen für Freiheitsberaubung und Entführung bis zu fünf Jahren Freiheitsstrafe (Art. 183), für sexuelle Nötigung bis zu zehn Jahren reicht (Art. 189), erweist sich die Verurteilung des Beschwerdeführers zu mehr als 16 Jahren Freiheitsstrafe wegen Freiheitsberaubung und sexueller Gewalt nicht als unverhältnismässig und deshalb rechtsstaatlich legitim. Bei dieser Sachlage kann darauf verzichtet werden, die übrigen im vor-instanzlichen Verfahren eingereichten türkischen Dokumente übersetzen zu lassen, zumal keine Hinweise darauf gefunden werden konnten, dass seitens der Anklagebehörde beziehungsweise des Geschädigten/Privatklägers oder seitens der Beschuldigten politische, religiöse oder andere asylrelevante Motive im Zusammenhang mit der Anklage geltend gemacht wurden (vgl. summarische Übersetzung vom 21. Juni 2016). Da das SEM eine Übersetzung der relevantesten Akten veranlasst hat, ist zudem nicht ersichtlich, inwiefern es diesbezüglich den Anspruch des Beschwerdeführers auf rechtliches Gehör verletzt haben sollte. Für eine Rückweisung der Sache an die Vorinstanz gibt es somit keinen Anlass, weshalb der entsprechende Eventualantrag abzuweisen ist. Vor dem Hintergrund, dass die der türkischen Ethnie zugehörigen Mitangeklagten zur gleichen Strafe wie der Beschwerdeführer verurteilt wurden, bestehen im Übrigen keine Hinweise auf eine sachfremde Beeinflussung der türkischen Richter, weshalb in antizipierter Beweiswürdigung davon abgesehen werden kann, die auf Beschwerdeebene in Aussicht gestellten Unterlagen von türkischen Anwälten nachreichen zu lassen. Insgesamt sind den Akten keine konkreten Anhaltspunkte dafür zu entnehmen, dass der Beschwerdeführer aufgrund seiner ethnischen Zugehörigkeit Misshandlungen im Strafvollzug zu erleiden hätte beziehungsweise bei einer Rückkehr in seine Heimat in eine flüchtlingsrechtlich relevante Bedrohungssituation geraten würde. Zur Vermeidung von Wiederholungen kann im Übrigen auf die einlässlichen und zutreffenden Erwägungen in der angefochtenen Verfügung verwiesen werden.</w:t>
      </w:r>
    </w:p>
    <w:p>
      <w:r>
        <w:rPr>
          <w:b/>
        </w:rPr>
        <w:t>E. 4.2.2</w:t>
      </w:r>
    </w:p>
    <w:p>
      <w:r>
        <w:t>Nach dem Gesagten bleibt festzuhalten, dass das SEM zu Recht die Flüchtlingseigenschaft des Beschwerdeführers verneint und sein Asylgesuch abgelehnt hat. Auf die weiteren Beschwerdevorbringen braucht nicht näher eingegangen zu werden, da dies zu keiner anderen Betrachtungsweise führen würde.</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Non-Refoulements nur Personen schützt, die die Flüchtlingseigenschaft erfüllen. Da der Beschwerdeführer die Flüchtlingseigenschaft nicht erfüllt,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Der Vollzug der Wegweisung ist vorliegend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Weder die allgemeine Lage in der Türkei noch individuelle Gründe lassen den Wegweisungsvollzug vorliegend unzumutbar erscheinen. Beim Beschwerdeführer handelt es sich nämlich um einen jungen, gemäss Akten gesunden und arbeitsfähigen Mann, der im (...) und in der (...), welche sich im Familienbesitz befinden, als (...) und (...) tätig war (vgl. A17 S. 4 F13ff.). Ausserdem verfügt er in der Türkei über ein tragfähiges Beziehungsnetz (Ehefrau, vier Kinder, Mutter, vier Brüder, ein Onkel und zwei Tanten [vgl. A17 S. 3ff.]), welches ihm auch nach Verbüssung der Freiheitsstrafe die Wiedereingliederung erleichtern dürfte. Nach dem Gesagten erweist sich der Vollzug der Wegweisung auch als zumutbar.</w:t>
      </w:r>
    </w:p>
    <w:p>
      <w:r>
        <w:rPr>
          <w:b/>
        </w:rPr>
        <w:t>E. 6.5</w:t>
      </w:r>
    </w:p>
    <w:p>
      <w:r>
        <w:t>Schliesslich obliegt es dem Beschwerdeführer, sich die für eine Rückkehr notwendigen Reisedokumente zu beschaffen (vgl. Art. 8 Abs. 4 AsylG, dazu auch BVGE 2008/34 E. 12),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Angesichts dessen, dass sich die Rechtsbegehren als aussichtslos erwiesen haben, ist das Gesuch um Gewährung der unentgeltlichen Rechtspflege im Sinne von Art. 65 Abs. 1 VwVG unbesehen der geltend gemachten Bedürftigkeit des Beschwerdeführers abzuweisen. Mangels Erfüllung der Voraussetzungen von Art. 65 Abs. 1 VwVG ist auch das Gesuch um Bestellung eines unentgeltlichen Rechtsbeistands im Sinne von Art. 110a Abs. 1 Bst. a AsylG abzuweisen. Das Gesuch um Verzicht auf die Erhebung eines Kostenvorschusses wird mit dem vorliegenden Urteil in der Hauptsache hinfällig.</w:t>
      </w:r>
    </w:p>
    <w:p>
      <w:r>
        <w:rPr>
          <w:b/>
        </w:rPr>
        <w:t>E. 8.2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