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D-4191/2014 vom 4. September 2014</w:t>
      </w:r>
    </w:p>
    <w:p>
      <w:r>
        <w:t>Bundesverwaltungsgericht, 2014-09-04, DE</w:t>
      </w:r>
    </w:p>
    <w:p>
      <w:r>
        <w:rPr>
          <w:b/>
        </w:rPr>
        <w:t xml:space="preserve">Quelle: </w:t>
      </w:r>
      <w:r>
        <w:t>https://mcp.opencaselaw.ch/entscheid/bvger_D-4191_2014</w:t>
      </w:r>
    </w:p>
    <w:p>
      <w:r>
        <w:t>FR: TAF D-4191/2014 du 4 septembre 2014</w:t>
      </w:r>
    </w:p>
    <w:p>
      <w:r>
        <w:t>IT: TAF D-4191/2014 del 4 settembre 2014</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2 VwVG Parteistellung zukommt (vgl. BVGE 2008/15 E. 3.2, mit weiteren Hinweisen). Der Beschwerdeführer, der in der Schweiz ein Asylgesuch gestellt und um Erlass eines entsprechenden Asylentscheids in Form einer anfechtbaren Verfügung ersucht hat,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des Beschwerdeführenden. Dieser muss darlegen, dass er zur Zeit der Beschwerdeeinreichung ein schutzwürdiges - mithin aktuelles und praktisches - Interesse an der Vornahme der verzögerten Amtshandlung respektive der Feststellung einer entsprechenden Rechtsverzögerung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in den bei den Akten liegenden Eingaben, mit welchen er um beförderliche Verfahrenserledigung ersucht hat.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alt 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5.2). Spezialgesetzliche Behandlungsfristen sind bei der Beurteilung der Angemessenheit der Verfahrensdauer zu berücksichtigen.</w:t>
      </w:r>
    </w:p>
    <w:p>
      <w:r>
        <w:rPr>
          <w:b/>
        </w:rPr>
        <w:t>E. 4</w:t>
      </w:r>
    </w:p>
    <w:p>
      <w:r>
        <w:t>Der Beschwerdeführer moniert vorliegend, das BFM habe das Asylverfahren seit der BzP im EVZ B._______ vom 4. April 2012 nicht weitergeführt. Trotz zweier Schreiben seiner Rechtsvertretung vom 13. November 2013 und 17. März 2014 sei er bisher noch nicht einmal zur Anhörung zu den Asylgründen gemäss Art. 29 Abs. 1 AsylG eingeladen worden.</w:t>
      </w:r>
    </w:p>
    <w:p>
      <w:r>
        <w:rPr>
          <w:b/>
        </w:rPr>
        <w:t>E. 4.1</w:t>
      </w:r>
    </w:p>
    <w:p>
      <w:r>
        <w:t>Gemäss Art. 29 Abs. 1 Bst. b AsylG hört das BFM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4.2</w:t>
      </w:r>
    </w:p>
    <w:p>
      <w:r>
        <w:t>Das Bundesverwaltungsgericht stellt vorliegend nach Durchsicht der vorinstanzlichen Akten fest, dass seit der BzP des Beschwerdeführers im EVZ B._______ vom 4. April 2012 und der unmittelbar daran erfolgten Kantonszuweisung während über zwei Jahren keine verfahrensleitenden Handlungen von Seiten des BFM mehr erfolgt sind. Die vom 13. Novem­ber 2013 datierende Anfrage des Beschwerdeführers nach dem Verfahrensfortgang blieb unbeantwortet. Die letzte den Akten zu entnehmende Amtshandlung datiert vom 22. April 2014. Es handelt sich dabei um die per E-Mail versandte Ankündigung an die Rechtsvertretung, dass innerhalb der nächsten Wochen ein Termin für die Anhörung des Beschwerdeführers zu den Asylgründen festgesetzt würde; dies als Reaktion auf das schriftliche Ersuchen des Beschwerdeführers um Beschleunigung des Asylverfahrens vom 17. März 2014. Ein Anhörungstermin wurde in der Folge jedoch nicht festgesetzt.</w:t>
      </w:r>
    </w:p>
    <w:p>
      <w:r>
        <w:rPr>
          <w:b/>
        </w:rPr>
        <w:t>E. 4.3</w:t>
      </w:r>
    </w:p>
    <w:p>
      <w:r>
        <w:t>Dem Bundesverwaltungsgericht ist die hohe Arbeitslast des BFM, auf die in der Vernehmlassung hingewiesen wird, bekannt, und es ist nicht nur nachvollziehbar, sondern aufgrund der Geschäftslast unvermeidbar, dass nicht jedes Asylverfahren innerhalb der gesetzlichen Behandlungsfristen abgeschlossen werden kann, was in der Formulierung von Art. 37 Abs. 2 AsylG ("in der Regel") zum Ausdruck kommt. Keine solche Relativierung kennt die Bestimmung von Art. 29 Abs. 1 AsylG betreffend die Frist zur Anhörung zu den Asylgründen, aber dennoch handelt es sich auch bei dieser Behandlungsfrist um eine blosse, bei Überschreitung nicht mit verfahrensrechtlichen Sanktionen verbundene Ordnungsfrist. Dem Beschwerdeführer ist vorliegend aber dahingehend beizupflichten, als die grosse Geschäftslast die Untätigkeit des BFM seit der über zwei Jahre zurückliegenden BzP nicht zu rechtfertigen vermag. Mit dem Verweis auf die aktuell hohe Zahl neuer Asylgesuche eritreischer Staatsangehöriger und damit verbundener Kapazitätsengpässe hinsichtlich der Durchführung von Anhörungen eritreischer Asylsuchender gemäss Art. 29 Abs. 1 AsylG seit April 2014, vermag das BFM nicht stichhaltig zu begründen, inwiefern es wegen nicht selbst zu verantwortender Umstände nicht in der Lage gewesen sein sollte, die Anhörung des Beschwerdeführers in der Zeitspanne davor (von April 2012 bis April 2014) durchzuführen. Die zweijährige Untätigkeit des BFM ist nicht mit Art. 29 Abs. 1 Bst. b AsylG zu vereinbaren, zumal die Anhörung des Asylsuchenden zu seinen Asylgründen den Kernpunkt der Sachverhaltsfeststellung und damit die Grundlage für die rechtliche Analyse der Asylvorbringen bildet, und möglichst zeitnah zur Asylgesuchstellung erfolgen sollte. Das Schreiben des Beschwerdeführers vom 13. November 2013, mit welchem er sich nach dem Fortgang des Verfahrens erkundigte und um Durchführung der ausstehenden Anhörung ersuchte, blieb bis zum 22. April 2014 unbeantwortet. Eine Information, wonach die am 22. April 2014 in Aussicht gestellte Terminfestsetzung innert der nächsten Wochen aufgrund organisatorischer Schwierigkeiten doch nicht wie angekündigt erfolgen könne, blieb ebenfalls aus. Damit wurde der Beschwerdeführer über den Fortgang des Verfahrens weiterhin im Unklaren gelassen.</w:t>
      </w:r>
    </w:p>
    <w:p>
      <w:r>
        <w:rPr>
          <w:b/>
        </w:rPr>
        <w:t>E. 4.4</w:t>
      </w:r>
    </w:p>
    <w:p>
      <w:r>
        <w:t>Das BFM muss sich unter diesen Umständen eine Verletzung des Beschleunigungsgebots von Art. 29 Abs. 1 BV vorhalten lassen.</w:t>
      </w:r>
    </w:p>
    <w:p>
      <w:r>
        <w:rPr>
          <w:b/>
        </w:rPr>
        <w:t>E. 4.5</w:t>
      </w:r>
    </w:p>
    <w:p>
      <w:r>
        <w:t>Die Rüge der Rechtsverzögerung erweist sich damit als begründet und die Beschwerde ist gutzuheissen. Die Akten gehen an das BFM zurück, verbunden mit der Anweisung, das Asylverfahren des Beschwerdeführers beförderlich weiterzuführen und das Asylgesuch zügig einer anfechtbaren Verfügung zuzuführen.</w:t>
      </w:r>
    </w:p>
    <w:p>
      <w:r>
        <w:rPr>
          <w:b/>
        </w:rPr>
        <w:t>E. 5.1</w:t>
      </w:r>
    </w:p>
    <w:p>
      <w:r>
        <w:t>Bei diesem Ausgang des Verfahrens sind keine Verfahrenskosten zu erheben (Art. 63 Abs. 1 und 2 VwVG). Das Gesuch des Beschwerdeführers um Bewilligung der unentgeltlichen Prozessführung gemäss Art. 65 Abs. 1 VwVG wird damit gegenstandslos.</w:t>
      </w:r>
    </w:p>
    <w:p>
      <w:r>
        <w:rPr>
          <w:b/>
        </w:rPr>
        <w:t>E. 5.2</w:t>
      </w:r>
    </w:p>
    <w:p>
      <w:r>
        <w:t>Dem Beschwerdeführer ist aufgrund seines Obsiegens in Anwendung von Art. 64 Abs. 1 VwVG eine Parteientschädigung für die ihm erwachsenen Vertretungskosten im Beschwerdeverfahren zuzusprechen. Eine Kostennote wurde von Seiten der Rechtsvertretung nicht eingereicht, jedoch lässt sich der Vertretungsaufwand für das Beschwerdeverfahren aufgrund der Akten zuverlässig abschätzen. Unter Berücksichtigung der massgebenden Bemessungsfaktoren ist die vom BFM zu entrichtende Parteientschädigung auf insgesamt Fr. 500.- (inkl. Auslagen und Mehrwertsteuer) festzusetzen (Art. 9-11, 13 und 14 Abs. 2 des Reglements vom 21. Februar 2008 über die Kosten und Entschädigungen vor dem Bundesverwaltungsgericht [VGKE, SR 173.320.2])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