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D-418/2024 vom 15. Mai 2024</w:t>
      </w:r>
    </w:p>
    <w:p>
      <w:r>
        <w:t>Bundesverwaltungsgericht, 2024-05-15, DE</w:t>
      </w:r>
    </w:p>
    <w:p>
      <w:r>
        <w:rPr>
          <w:b/>
        </w:rPr>
        <w:t xml:space="preserve">Quelle: </w:t>
      </w:r>
      <w:r>
        <w:t>https://mcp.opencaselaw.ch/entscheid/bvger_D-418_2024</w:t>
      </w:r>
    </w:p>
    <w:p>
      <w:r>
        <w:t>FR: TAF D-418/2024 du 15 mai 2024</w:t>
      </w:r>
    </w:p>
    <w:p>
      <w:r>
        <w:t>IT: TAF D-418/2024 del 15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D-418/2024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In der Beschwerde wurde die Verletzung der Begründungspflicht res- pektive des rechtlichen Gehörs gerügt. Die formellen Rügen sind vorab zu beurteilen, da diese allenfalls geeignet sind, eine Kassation der vorinstanz- lichen Verfügung zu bewirken (vgl. BVGE 2013/34 E. 4.2).</w:t>
      </w:r>
    </w:p>
    <w:p>
      <w:r>
        <w:rPr>
          <w:b/>
        </w:rPr>
        <w:t>E. 4.2</w:t>
      </w:r>
    </w:p>
    <w:p>
      <w:r>
        <w:t>Die Begründungspflicht, die sich aus dem Anspruch auf rechtliches Ge- 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Die verfügende Behörde kann sich dabei auf die wesentlichen Gesichtspunkte beschränken, hat jedoch wenigstens die Überlegungen kurz anzuführen, von denen sie sich leiten liess und auf</w:t>
      </w:r>
    </w:p>
    <w:p>
      <w:r>
        <w:t>D-418/2024 Seite 7 welche sie ihren Entscheid stützt (vgl. BVGE 2008/47 E. 3.2). Nicht erfor- derlich ist, dass sich die Begründung mit allen Parteipunkten einlässlich auseinandersetzt und jedes einzelne Vorbringen widerlegt (vgl. BGE 136 I 184 E. 2.2.1).</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w:t>
      </w:r>
    </w:p>
    <w:p>
      <w:r>
        <w:rPr>
          <w:b/>
        </w:rPr>
        <w:t>E. 4.4</w:t>
      </w:r>
    </w:p>
    <w:p>
      <w:r>
        <w:t>Die Beschwerdeführenden rügten, dass die Vorinstanz ihre Zugehörig- keit zu den Gonabadi-Derwischen respektive eine diesbezügliche Verfol- gung verneint und die eingereichten Dokumente nicht überprüft habe, ob- wohl sie über zahlreiche Kontrollen und Schikanen im Zusammenhang mit ihrer Religionszugehörigkeit durch den iranischen Geheimdienst berichtet hätten, einer ihrer Mitarbeiter aufgrund wiederholender Befragungen durch den Geheimdienst gekündigt und infolgedessen die Praxis die männliche Kundschaft verloren habe. Zur Frage nach der Asylrelevanz bei Zugehö- rigkeit zu den Gonabadi-Derwischen habe sich die Vorinstanz gar nicht ge- äussert und mit diesem Vorgehen ihre Begründungspflicht sowie das recht- liche Gehör verletzt.</w:t>
      </w:r>
    </w:p>
    <w:p>
      <w:r>
        <w:rPr>
          <w:b/>
        </w:rPr>
        <w:t>E. 4.5</w:t>
      </w:r>
    </w:p>
    <w:p>
      <w:r>
        <w:t>Dem Vorhalt, die Vorinstanz habe die Vorbringen der Beschwerdefüh- renden bezüglich ihrer religiösen Zugehörigkeit nicht auf die Asylrelevanz überprüft, kann nicht gefolgt werden. Die Vorinstanz hat in ihrer Verfügung hinreichend begründet, weshalb sie zum Schluss gekommen ist, dass auf- grund ihrer Religionszugehörigkeit keine asylrechtlich relevante Verfolgung vorliegt und hat auch zur eingereichten Bestätigung betreffend ihre Zuge- hörigkeit zu den Gonabadi-Derwischen Stellung genommen (vgl. SEM- Akte A36/11, S. 6 und S. 8). Die formellen Rügen erweisen sich als unbe- gründet. Eine Rückweisung an die Vorinstanz ist demensprechend nicht angezeigt.</w:t>
      </w:r>
    </w:p>
    <w:p>
      <w:r>
        <w:rPr>
          <w:b/>
        </w:rPr>
        <w:t>E. 5</w:t>
      </w:r>
    </w:p>
    <w:p>
      <w:r>
        <w:t>Die Beschwerde richtet sich vorliegend gegen die Ablehnung des Asylge- suchs und gegen die Feststellung, die Beschwerdeführenden erfüllten die</w:t>
      </w:r>
    </w:p>
    <w:p>
      <w:r>
        <w:t>D-418/2024 Seite 8 Flüchtlingseigenschaft nicht, sowie die Anordnung des Vollzugs der Weg- weisung.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ihrer Verfügung zusammenfassend zum Schluss, dass die Beschwerdeführenden weder politische noch religiöse Motive aufwiesen, welche asylrechtlich relevant seien. Der Beschwerde- führer habe anlässlich der eintägigen Reise in den Irak weder bei der Aus-</w:t>
      </w:r>
    </w:p>
    <w:p>
      <w:r>
        <w:t>D-418/2024 Seite 9 noch bei der Wiedereinreise Probleme mit den Grenzbehörden erfahren. Die erwähnten Befragungen, die kurzzeitige Festnahme nach seiner Wie- dereinreisen aus dem Irak sowie die später erfolgte Einreise aus Europa würden keine Asylrelevanz entfalten. Ausserdem habe er erklärt, sich poli- tisch nicht engagiert zu haben und nichts über die Partei im Irak zu wissen, welcher sein Schwager beigetreten sei. Ferner hätten die Beschwerdefüh- renden keine religiösen Aktivitäten zugunsten der Gonabadi-Derwische dargelegt, aufgrund welcher sie ins Visier der heimatlichen Behörden ge- raten seien. Ferner sei das eingereichte Dokument ungeeignet, um ihre Zugehörigkeit zu den Gonabadi-Derwischen zu belegen und sei als Gefäl- ligkeitsschreiben zu betrachten. Den Akten sei auch nicht zu entnehmen, dass die heimatlichen Behörden ihnen konkrete religiöse Aktivitäten vorge- worfen hätten oder sie solcher beschuldigt worden seien; der Beschwerde- führer sei erstmals nach seiner Rückkehr aus dem Irak durch den Geheim- dienst über die Gründe für diese Reise befragt worden, wobei seine Reli- gion nicht Gegenstand der Befragungen gewesen sei. Des Weiteren seien die Schilderungen zu den wiederholten Belästigungen in der Praxis durch den iranischen Geheimdienst trotz Nachfrage lediglich oberflächlich, teil- weise realitätsfremd sowie widersprüchlich ausgefallen und insgesamt un- glaubhaft. Auch erscheine es realitätsfremd, dass der Beschwerdeführer aus Sicht der iranischen Behörden eine potenzielle Gefahr für die nationale Sicherheit darstelle, ihm jedoch gegen Geld und Luxusgüter eine Zusam- menarbeit angeboten worden sei. Die Ausführungen der Beschwerdefüh- rerin zum Zeitraum, als sich der Beschwerdeführer im Ausland aufgehalten habe, seien ebenfalls substanzlos sowie undetailliert geblieben und un- glaubhaft. Insgesamt erscheine es realitätsfremd, dass sie wegen Zugehö- rigkeit zu einer politischen Partei und den Gonabadi-Derwischen über meh- rere Jahre belästigt worden sein sollen, obwohl sie sich weder politisch noch religiös betätigt hätten.</w:t>
      </w:r>
    </w:p>
    <w:p>
      <w:r>
        <w:rPr>
          <w:b/>
        </w:rPr>
        <w:t>E. 7.2</w:t>
      </w:r>
    </w:p>
    <w:p>
      <w:r>
        <w:t>Dagegen wendeten die Beschwerdeführenden in ihrer Beschwerdeein- gabe ein, dass zahlreichen Nichtregierungsorganisationen (wie etwa Am- nesty International, Human Rights Watch und das österreichische Bundes- amt für Fremdenwesen und Asyl) zufolge Repressionen gegen die Der- wisch-Gemeinschaften durch die iranischen Behörden zugenommen hät- ten. Es stelle sich – auch angesichts der von ihnen erlebten zahlreichen sowie wiederkehrenden Kontrollen und Schikanen im Iran – die Frage nach der Asylrelevanz ihrer religiösen Zugehörigkeit zu den Gonabadi-Derwi- schen. Des Weiteren sei der Beschwerdeführer aufgrund seiner Ausland- reise der Spionage verdächtigt und in der Folge schikaniert, verhört, ent- führt, eingeschüchtert und körperlich attackiert worden. Die Beschwerde-</w:t>
      </w:r>
    </w:p>
    <w:p>
      <w:r>
        <w:t>D-418/2024 Seite 10 führerin habe nach einer Razzia und einer gegen sie gerichteter Anwen- dung körperlicher Gewalt ihr ungeborenes Kind verloren; sie seien ernst- haften Nachteilen im Sinne des Asylgesetzes ausgesetzt und ihr Leib und Leben sei in Gefahr.</w:t>
      </w:r>
    </w:p>
    <w:p>
      <w:r>
        <w:rPr>
          <w:b/>
        </w:rPr>
        <w:t>E. 8.1</w:t>
      </w:r>
    </w:p>
    <w:p>
      <w:r>
        <w:t>Das Gericht kommt zum Schluss, dass es den Beschwerdeführenden nicht gelungen ist, eine asylrechtlich relevante Verfolgung aufgrund ihrer religiösen Zugehörigkeit sowie den vermeintlichen politischen Aktivitäten glaubhaft darzulegen. Hierzu ist einerseits auf die stichhaltigen Argumente der vorinstanzlichen Verfügung zu verweisen (vgl. SEM-Akte A36/11 S. 7- 8). Anderseits ist ergänzend festzuhalten, dass es den lediglich vage und teilweise realitätsfremd vorgebrachten Schilderungen bezüglich der wie- derholten Beamtenbesuche in der (…)praxis sowie der Befragungen der Beschwerdeführerin während des Auslandsaufenthalts des Beschwerde- führers an Substanz fehlt. Insbesondere der Vorfall, wonach der Beschwer- deführer von Mitarbeitern des iranischen Geheimdienstes mitgenommen, für die Durchführung von «Gnadenschüssen» hätte rekrutiert und dafür reichlich belohnt werden, jedoch Stillschweigen über das Angebot hätte be- wahren sollen, genügt den Anforderungen an Art. 7 AsylG nicht.</w:t>
      </w:r>
    </w:p>
    <w:p>
      <w:r>
        <w:rPr>
          <w:b/>
        </w:rPr>
        <w:t>E. 8.2</w:t>
      </w:r>
    </w:p>
    <w:p>
      <w:r>
        <w:t>Ferner ist auf die überzeugend ausgefallenen Ausführungen der Vor- instanz zur fehlenden Verfolgung im Zusammenhang mit ihrer religiösen Zugehörigkeit zu verweisen und anknüpfend festzustellen, dass die Be- schwerdeführenden über keine Vorfälle oder Aktivitäten berichtet haben, welche geeignet sind, eine konkrete religiös motivierte sowie individuelle Verfolgung in ihrem Heimatstaat zu begründen. Auch machten sie nicht geltend, sich in exponierter Weise im Iran religiös betätigt zu haben. Die eingereichten Bestätigungen, wonach sie den Gonabadi-Derwischen an- gehörten, erweisen sich ebenso als ungeeignet, um eine flüchtlingsrecht- lich relevante Verfolgung zu begründen, wie der Verweis auf verschiedene Internetseiten und soziale Medien zur allgemeinen Verfolgungsgefahr von Gonabadi-Derwischen im Iran sowie zu den von den Beschwerdeführen- den besuchten Gebetshäusern. Schliesslich hat die Vorinstanz richtig fest- gestellt, dass die vorgebrachten mehrmaligen Mitnahmen und Befragun- gen durch den iranischen Geheimdienst sowie die Befragung des Be- schwerdeführers am Flughafen nach seiner Rückkehr aus dem Ausland nicht als ernsthafte Nachteile im Sinne des Asylgesetzes zu erachten sind, zumal der Umstand, dass der Beschwerdeführer zweimal problemlos aus dem Ausland in den Iran zurückreisen konnte und die Beschwerde-</w:t>
      </w:r>
    </w:p>
    <w:p>
      <w:r>
        <w:t>D-418/2024 Seite 11 führenden zuletzt mit einem Visum legal aus dem Iran ausgereist sind, diese Einschätzung bestätigen.</w:t>
      </w:r>
    </w:p>
    <w:p>
      <w:r>
        <w:rPr>
          <w:b/>
        </w:rPr>
        <w:t>E. 8.3</w:t>
      </w:r>
    </w:p>
    <w:p>
      <w:r>
        <w:t>Zusammenfassend ist festzuhalten, dass es den Beschwerdeführen- den nicht gelungen ist, eine im Sinne von Art. 3 AsylG relevante Verfol- gungsgefahr nachzuweisen oder glaubhaft darzulegen (Art. 7 AsylG). Die Vorinstanz hat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D-418/2024 Seite 12 AsylG; vgl. ebenso Art. 33 Abs. 1 des Abkommens vom 28. Juli 1951 über die Rechtsstellung der Flüchtlinge [FK, SR 0.142.30]). Gemäss Art. 25 Abs. 3 BV (SR 101), Art. 3 des Übereinkommens vom 10. Dezember 1984 gegen Folter und andere grausame, unmenschliche oder erniedrigende Behandlung oder Strafe (FoK, SR 0.105) und der Praxis zu Art. 3 der Kon- vention zum Schutze der Menschenrechte und Grundfreiheiten vom 4. No- vember 1950 (EMRK, SR 0.101) darf niemand der Folter oder unmensch- licher oder erniedrigender Strafe oder Behandlung unterworfen werden.</w:t>
      </w:r>
    </w:p>
    <w:p>
      <w:r>
        <w:rPr>
          <w:b/>
        </w:rPr>
        <w:t>E. 10.3.3</w:t>
      </w:r>
    </w:p>
    <w:p>
      <w:r>
        <w:t>Den Beschwerdeführenden ist es nicht gelungen, eine asylrechtlich erhebliche Gefährdung nachzuweisen oder glaubhaft zu machen; somit kann der in Art. 5 AsylG verankerte Grundsatz der Nichtrückschiebung im vorliegenden Verfahren keine Anwendung finden. Eine Rückkehr der Be- schwerdeführenden in den Iran ist demnach unter dem Aspekt von Art. 5 AsylG rechtmässig. Sodann ergeben sich weder aus ihren Aussagen noch aus den Akten Anhaltspunkte dafür, dass sie für den Fall einer Wegweisung in den Heimatstaat dort mit beachtlicher Wahrscheinlichkeit einer nach Art. 3 EMRK oder Art. 1 FoK verbotenen Strafe oder Behandlung ausge- setzt wären. Gemäss Praxis des Europäischen Gerichtshofes für Men- schenrechte (EGMR) sowie jener des UN-Anti-Folterausschusses müsste eine konkrete Gefahr (real risk) nachweisen oder glaubhaft gemacht wer- den, dass im Fall einer Rückschiebung Folter oder unmenschliche Behand- lung drohen würde (vgl. Urteil des EGMR Saadi gegen Italien 28. Februar 2008, Grosse Kammer, 37201/06, §§ 124–127 m.w.H.). Auch die allge- 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Trotz erheblicher Spannungen, die seit Mitte September 2022 im Land bestehen, herrscht im Iran gegenwärtig weder Krieg oder Bürgerkrieg noch eine Situation allgemeiner Gewalt, aufgrund derer eine Rückkehr</w:t>
      </w:r>
    </w:p>
    <w:p>
      <w:r>
        <w:t>D-418/2024 Seite 13 generell unzumutbar wäre (vgl. statt vieler die Urteile des BVGer D-2807/2020 vom 13. Dezember 2023 E. 9.3.2, E-6061/2020 vom 10. No- vember 2023 E. 12.2 und D-439/2022 vom 29. Februar 2024 E. 9.4.1 je m.w.H.).</w:t>
      </w:r>
    </w:p>
    <w:p>
      <w:r>
        <w:rPr>
          <w:b/>
        </w:rPr>
        <w:t>E. 10.4.3</w:t>
      </w:r>
    </w:p>
    <w:p>
      <w:r>
        <w:t>Sodann sind keine individuellen Gründe ersichtlich, die gegen einen Wegweisungsvollzug sprechen. Die Beschwerdeführerin hat bis zu ihrer Ausreise mit einer auf ihren Namen lautenden Betriebslizenz ihre eigene (…)praxis geführt. Der Beschwerdeführer verfügt über langjährige Arbeits- erfahrung als (…) in (…) und hat zuletzt in der (…)praxis der Beschwerde- führerin als (…) gearbeitet. Ihren Aussagen zufolge sind sie finanziell un- abhängig gewesen und haben im Mittelstand gelebt (vgl. SEM-Akten A18/11, F11-15, F22; A19/10 F13, F22-24). Es wird ihnen möglich sein, nach der Rückkehr bei Bedarf die Betriebslizenz zu erneuern und ihre Pra- xis weiterzuführen. Ferner leben alle Verwandten im Iran; die Eltern der Beschwerdeführerin wohnen in E._______, wo auch die Beschwerdefüh- renden zuletzt gelebt und gearbeitet haben. Somit ist ein familiäres Netz- werk im Heimatland vorhanden, welches ihnen bei einer allfälligen Rein- tegration hilfreich zur Seite stehen kann. Auch aus medizinischer Sicht steht einem Vollzug der Wegweisung nichts entgegen (vgl. SEM-Akten A18/11 F23; A19/10 F14-15). Schliesslich spricht aus der Sicht des Kin- deswohls ebenfalls nichts gegen eine Rückkehr ins Heimatland, zumal sich die Familie erst knapp eineinhalb Jahre in der Schweiz aufhält, (…) bis dahin im Iran lebte und dort (wieder) wird die Schule besuchen können.</w:t>
      </w:r>
    </w:p>
    <w:p>
      <w:r>
        <w:rPr>
          <w:b/>
        </w:rPr>
        <w:t>E. 10.4.4</w:t>
      </w:r>
    </w:p>
    <w:p>
      <w:r>
        <w:t>Nach dem Gesagten erweist sich der Vollzug der Wegweisung auch als zumutbar.</w:t>
      </w:r>
    </w:p>
    <w:p>
      <w:r>
        <w:rPr>
          <w:b/>
        </w:rPr>
        <w:t>E. 10.5</w:t>
      </w:r>
    </w:p>
    <w:p>
      <w:r>
        <w:t>Die Beschwerdeführenden verfügen über bis zum 27. Mai 2025 res- pektive bis 11. September 2026 gültige Reisepässe (vgl. Art. 8 Abs. 4 AsylG und dazu auch BVGE 2008/34 E. 12), weshalb der Vollzug der Wegwei- 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w:t>
      </w:r>
    </w:p>
    <w:p>
      <w:r>
        <w:t>D-418/2024 Seite 14 sowie vollständig feststellt (Art. 106 Abs. 1 AsylG) und – soweit diesbezüg- lich überprüfbar – angemessen ist. Die Beschwerde ist somit abzuweisen.</w:t>
      </w:r>
    </w:p>
    <w:p>
      <w:r>
        <w:rPr>
          <w:b/>
        </w:rPr>
        <w:t>E. 12</w:t>
      </w:r>
    </w:p>
    <w:p>
      <w:r>
        <w:t>Wie bereits in der Zwischenverfügung vom 13. Februar 2024 festgestellt wurde, erweist sich die Beschwerde als offensichtlich unbegründet. Bei die- sem Ausgang des Verfahrens sind die Kosten von Fr. 750.– den Beschwer- deführenden aufzuerlegen (Art. 1–3 des Reglements vom 21. Februar 2008 über die Kosten und Entschädigungen vor dem Bundesverwaltungs- gericht [VGKE; SR 173.320.2]; Art. 63 Abs. 1 VwVG). Der in gleicher Höhe geleistete Kostenvorschuss ist zur Bezahlung der Verfahrenskosten zu ver- wenden.</w:t>
      </w:r>
    </w:p>
    <w:p>
      <w:r>
        <w:t>(Dispositiv nächste Seite)</w:t>
      </w:r>
    </w:p>
    <w:p>
      <w:r>
        <w:t>D-418/2024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