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D-4189/2006 vom 28. September 2007</w:t>
      </w:r>
    </w:p>
    <w:p>
      <w:r>
        <w:t>Bundesverwaltungsgericht, 2007-09-28, DE</w:t>
      </w:r>
    </w:p>
    <w:p>
      <w:r>
        <w:rPr>
          <w:b/>
        </w:rPr>
        <w:t xml:space="preserve">Quelle: </w:t>
      </w:r>
      <w:r>
        <w:t>https://mcp.opencaselaw.ch/entscheid/bvger_D-4189_2006</w:t>
      </w:r>
    </w:p>
    <w:p>
      <w:r>
        <w:t>FR: TAF D-4189/2006 du 28 septembre 2007</w:t>
      </w:r>
    </w:p>
    <w:p>
      <w:r>
        <w:t>IT: TAF D-4189/2006 del 28 settembre 2007</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1007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mithin einzutreten.</w:t>
      </w:r>
    </w:p>
    <w:p>
      <w:r>
        <w:rPr>
          <w:b/>
        </w:rPr>
        <w:t>E. 3.1</w:t>
      </w:r>
    </w:p>
    <w:p>
      <w:r>
        <w:t>Gemäss Art. 51 Abs. 1 AsyIG werden Ehegatten von Flüchtlingen und ihre minderjährigen Kinder als Flüchtlinge anerkannt und erhalten Asyl, sofern keine besonderen Umstände dagegen sprechen. Andere nahe Angehörige von in der Schweiz lebenden Flüchtlingen können in das Familienasyl eingeschlossen werden, wenn besondere Gründe für die Familienvereinigung sprechen (Art. 51 Abs. 2 AsylG). Der massgebliche Zeitpunkt zur Feststellung, ob die Voraussetzungen des Familienasyls erfüllt sind, ist grundsätzlich derjenige des Urteils (vgl. EMARK 2002 Nr. 20, S. 167, Erw. 5a).</w:t>
      </w:r>
    </w:p>
    <w:p>
      <w:r>
        <w:rPr>
          <w:b/>
        </w:rPr>
        <w:t>E. 3.2</w:t>
      </w:r>
    </w:p>
    <w:p>
      <w:r>
        <w:t>Gemäss Art. 191 der Bundesverfassung der Schweizerischen Eidgenossenschaft vom 18. April 1999 (BV, SR 101) sind Bundesgesetze für das Bundesverwaltungsgericht massgebend, das heisst bindend.</w:t>
      </w:r>
    </w:p>
    <w:p>
      <w:r>
        <w:rPr>
          <w:b/>
        </w:rPr>
        <w:t>E. 3.3</w:t>
      </w:r>
    </w:p>
    <w:p>
      <w:r>
        <w:t>Wer die Flüchtlingseigenschaft nicht in der eigenen Person erfüllt, kann im Rahmen des Familienasyls (Art. 51 AsylG) dennoch Asyl erhalten, sofern keine besonderen Gründe dagegen sprechen: Solchermassen Begünstigte sind der Ehegatte und die minderjährigen Kinder des Flüchtlings, der Asyl erhalten hat (vgl. Walter Stöckli, Asyl, in: Peter Uebersax/Peter Münch/Thomas Geiser/Martin Arnold{Hrsg.}, Handbücher für die Anwaltspraxis, Band VIII, Ausländerrecht, Basel u.a. 2002, S. 336, Rz. 8.36). Zwar ist der Konkubinatspartner dem Ehegatten gleichgestellt (vgl. EMARK 1993 Nr. 24 S. 162 ff., insbesondere S. 169 f., E. 8e, EMARK 2002 Nr. 20 E. 4b S. 166), aber stets wird in der vorerwähnten Rechtsprechung lediglich von einer einzigen Beziehungsperson gesprochen.</w:t>
      </w:r>
    </w:p>
    <w:p>
      <w:r>
        <w:rPr>
          <w:b/>
        </w:rPr>
        <w:t>E. 4</w:t>
      </w:r>
    </w:p>
    <w:p>
      <w:r>
        <w:t>Der Beschwerdeführer macht in diesem Zusammenhang im Wesentlichen geltend, er lebe zurzeit in der Schweiz mit seiner rumänischen Lebenspartnerin zusammen. Er habe aber den persönlichen Kontakt zu seinen beiden in der Türkei lebenden Ehefrauen und zu den elf Kindern nie aufgegeben. Falls er tatsächlich seit 1994 nach seiner Flucht aus der Türkei nach Rumänien mit seinen Familienangehörigen in der Türkei keinen Kontakt mehr gehabt haben solle, sei es aber schwer nachvollziehbar, wie er denn mit seinen zwei türkischen Ehefrauen von 1994 bis 2002 insgesamt noch fünf weitere Kinder gezeugt haben könne. Diese zweifelsfrei nachweisbare Tatsache belege, dass der Beschwerdeführer während seines Aufenthalts in Rumänien sehr wohl eine tatsächlich gelebte intakte Familienbeziehung zu seinen zwei türkischen Ehefrauen und den Kindern gehabt habe. Im Weiteren sei festzuhalten, dass der Beschwerdeführer mit seiner rumänischen Lebenspartnerin seit rund 13 Jahren und mit seinen beiden türkischen Ehefrauen seit rund 20 Jahren zusammen sei. Vor seiner Einreise in die Schweiz habe der Beschwerdeführer mit seinen beiden türkischen Ehefrauen und der rumänischen Lebenspartnerin in Istanbul unter einem Dach zusammengelebt. Offensichtlich seien sich sowohl der Beschwerdeführer als auch sämtliche drei Frauen darüber einig gewesen, eine Familiengemeinschaft zu bilden. Unter Berücksichtigung dieser Tatsachen sei entgegen der Auffassung der Vorinstanz von einer Familieneinheit beziehungsweise von einer tatsächlich gelebten und intakten Familienbeziehung im Sinne von Art. 51 AsyIG auszugehen. Der Beschwerdeführer habe im Rahmen seines Asylverfahrens schon bei der ersten Einvernahme den Behörden des BFF mitgeteilt, dass er Angehöriger der muslimischen Religion sei, eine Beziehung zu drei Frauen (zwei türkische Ehefrauen und eine rumänische Lebenspartnerin) unterhalte und mit den zwei türkischen Ehefrauen insgesamt elf Kinder gezeugt habe.</w:t>
      </w:r>
    </w:p>
    <w:p>
      <w:r>
        <w:rPr>
          <w:b/>
        </w:rPr>
        <w:t>E. 5.1</w:t>
      </w:r>
    </w:p>
    <w:p>
      <w:r>
        <w:t>In casu lebt der Beschwerführer mit seiner Konkubinatspartnerin in der Schweiz und möchte mindestens seine in der Türkei lebende, zivilrechtlich rechtmässig angetraute Ehegattin in seine Flüchtlingseigenschaft einbeziehen lassen (vgl. Beschwerde vom 22. Juli 2005, Ziff. 5). Damit gibt der Beschwerdeführer seine Absicht zu erkennen, in der Schweiz sowohl mit seiner rumänischen Konkubine als auch mit seiner zivilrechtlich angetrauten türkischen Ehefrau eine "eheliche" Beziehung leben zu wollen. Wie oben angeführt, beschränkt sich der Einbezug in die Flüchtlingseigenschaft des Ehegatten (asylrechtlicher Familiennachzug) nach Art. 51 Abs. 1 AsylG aber entweder auf eine zivilrechtlich angetraute oder auf eine im Konkubinat lebende Person, der Einbezug mehrerer Partner oder Partnerinnen lässt sich aus dieser Rechtsprechung nicht ableiten. Es besteht für das Bundesverwaltungsgericht kein Anlass, von dieser Rechtsprechung abzuweichen, zumal auch gemäss EMARK 2002 Nr. 20 E. 4a S. 165 f. eine dauerhafte Trennung der ehelichen Gemeinschaft ein besonderer Umstand darstellt, welcher der Gewährung von Familienasyl entgegensteht. Es steht fest, dass der Beschwerdeführer weder seine zivilrechtlich angetraute Ehefrau noch seine türkische Konkubine nach Rumänien nachzog. Vielmehr gründete er dort eine weitere Lebensgemeinschaft mit einer rumänischen Staatsangehörigen. Seit 1994 hielt sich der Beschwerdeführer mit Ausnahme einer Periode 2001/2002 ausserhalb der Türkei auf, seit März 2003 lebt er mit seiner rumänischen Lebenspartnerin in der Schweiz, weshalb nach objektiven Kriterien von einer seit 1994 faktisch annähernd ununterbrochenen, dauerhaften Trennung des Beschwerdeführers von der zivilrechtlich angetrauten Ehefrau und der türkischen Konkubine auszugehen ist. Der blossen, unbelegten Behauptung in der Beschwerde, der Beschwerdeführer lebe mit seiner rumänischen Partnerin in einer freien, nicht stark gefestigten Lebensgemeinschaft wird schon dadurch die Grundlage entzogen, dass eben diese rumänische Partnerin (und nicht die türkische Ehefrau respektive die nach Brauch angetraute türkische Frau und deren Kinder) dem Beschwerdeführer mit dem gemeinsamen Kind in die Schweiz nachreiste und er mit ihr inzwischen drei Kinder hat. Somit können weder die türkische Ehefrau noch die türkische Konkubine des Beschwerdeführers aus Art. 51 Abs. 1 und 2 AsylG etwas zu ihren Gunsten ableiten. Der Einbezug in die Flüchtlingseigenschaft im Rahmen von Art. 51 AsylG bleibt diesen Ausländerinnen nach dem Gesagten verwehrt, weshalb die Vorinstanz ihnen zu Recht die Erteilung einer Einreisebewilligung und das Asyl verweigert hat. Ob die vorgenannten Personen originär die Flüchtlingseigenschaft erfüllen, ist nicht Gegenstand des vorliegenden Verfahrens, weshalb auf diesbezügliche Abklärungen verzichtet werden kann.</w:t>
      </w:r>
    </w:p>
    <w:p>
      <w:r>
        <w:rPr>
          <w:b/>
        </w:rPr>
        <w:t>E. 5.2</w:t>
      </w:r>
    </w:p>
    <w:p>
      <w:r>
        <w:t>Betreffend das Beschwerdevorbringen, das Kindeswohl sei bei behördlichen Entscheiden immer vorrangig zu berücksichtigen, ist Folgendes festzustellen: Die Frage, ob das in Art. 3 Abs. 1 des Übereinkommens über die Rechte des Kindes vom 20. November 1989 (KRK, SR 0.107) verankerte Prinzip der vorrangigen Berücksichtigung des Kindeswohls im Asyl- und Wegweisungsverfahren direkt anwendbar ist, hat die ARK bisher offen gelassen (vgl. EMARK 1998 Nr. 13 E. 5d.bb S. 98). In einem neueren Urteil geht die ARK im Zusammenhang mit Art. 3 Abs. 1 KRK in Bezug auf den Vollzug der Wegweisung von einer völkerrechtskonformen Anwendung des Landesrechts aus (vgl. EMARK 2005 Nr. 6 E. 6.1. S. 57). Das Bundesgericht stellte hingegen fest, dass sich der KRK in Bezug auf die Erteilung von fremdenpolizeilichen Bewilligungen keine gerichtlich durchsetzbaren Ansprüche entnehmen lassen (vgl. BGE 126 II 377 E. 5d S. 391 f. mit Hinweis auf BGE 124 II 361 E. 3b S. 367). Insbesondere besteht kein bedingungsloser Anspruch auf Nachzug eines Kindes in die Schweiz, welches unter der Obhut des im Ausland verbliebenen Elternteils aufgewachsen ist (vgl. BGE 133 II 6 E. 3.1 S. 9). Vor diesem Hintergrund drängt sich, um Differenzen zur bundesgerichtlichen Rechtsprechung zu vermeiden, eine Anlehnung an diese bei der Prüfung der Frage des auf Art. 51 Abs. 1 AsylG gestützten Nachzugs von Kindern auf, welche beim im Ausland verbliebenen Elternteil leben. Zweck des Familiennachzugs ist gemäss BGE 129 II 249 E. 2.2 S. 252, das familiäre Zusammenleben zu ermöglichen. 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(BGE 129 II 249 E. 2.2 S. 252; BGE 129 II 11 E. 3.1.1-3.1.3 S. 14 f.; BGE 126 II 329 E. 2b S. 331; BGE 125 II 585 E. 2a S. 586, 633 E. 3a S. 639 f. mit Hinweisen). Ein Nachzugsrecht setzt vielmehr voraus, dass das Kind zu dem in der Schweiz lebenden Elternteil die vorrangige familiäre Beziehung unterhält.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beziehungsweise wem die elterliche Gewalt zukommt; wenn sich das Kindesinteresse in der Zwischenzeit geändert hat, so ist für eine Anpassung der familienrechtlichen Verhältnisse in der Regel zunächst der privatrechtliche Weg zu beschreiten (BGE 129 II 249 S. 253). Vorbehalten bleiben Fälle, in denen klare Anhaltspunkte für neue familiäre Abhängigkeiten oder für eine wesentliche Verlagerung der Beziehungsintensitäten bestehen, wie etwa beim Hinschied desjenigen Elternteils, der das Kind bisher betreut hat (BGE 125 II 585 E. 2a S. 586 f.; 124 II 361 E. 3a S. 366; 118 Ib 153 E. 2b S. 159/160). Im Übrigen wird nach Auffassung des Bundesgerichts das gesetzgeberische Ziel im Ausländerrecht, das familiäre Zusammenleben zu ermöglichen und rechtlich abzusichern, nicht erreicht, wenn der in der Schweiz niedergelassene Ausländer jahrelang von seinem Kind getrennt lebt und dieses erst kurz vor dem Erreichen des 18. Altersjahrs in die Schweiz holt. Eine Ausnahme kann nach der bundesgerichtlichen Rechtsprechung nur gelten, wenn die Familiengemeinschaft in der Schweiz aus guten Gründen erst nach Jahren hergestellt wird; solche Gründe müssen sich aus den Umständen des Einzelfalls ergeben (vgl. BGE 125 II 585 E. 2a S. 587, 119 Ib 81 E. 3a S. 88, 115 Ib 97 E. 3a S. 101). Dabei werden hohe Beweisanforderungen gestellt (BGE 124 II 361 E. 4c S. 370 f.). Die Verweigerung des Familiennachzugs lässt sich jedenfalls dann nicht beanstanden, wenn die Familientrennung von den Betroffenen ursprünglich selbst freiwillig herbeigeführt worden ist, für die Änderung der bisherigen Verhältnisse keine überwiegenden familiären Interessen bestehen beziehungsweise sich ein Wechsel nicht als zwingend erweist und die Fortführung und Pflege der bisherigen familiären Beziehungen nicht behördlich verhindert wird (vgl. BGE 129 II 11 E. 3.1.3 S. 15, 124 II 361 E. 3a S. 366 f. mit Hinweisen). Diese Rechtsprechung wurde in BGE 133 II 6 fortgeführt, wo sich das Bundesgericht mit der diesbezüglichen Rechtsprechung des Europäischen Gerichtshofes für Menschenrechte (EGMR), insbesondere mit den Urteilen Tuquabo-Tekle und andere v. Niederland (Nr. 60665/00, Urteil vom 1. Dezember 2005) sowie Sen v. Niederlande (Nr. 31465/96, Urteil vom 21. Dezember 2001) auseinandersetzte und im Ergebnis festhielt, dass die bundesgerichtlichen Prüfungskriterien der Strassburger Rechtsprechung standhielten (vgl. BGE 133 II 6 E. 5.2 - 5.3 S. 17 f.). Die behördliche Untersuchungspflicht im Asylverfahren (Art. 12 VwVG i.V.m. Art. 6 AsylG) gilt nicht uneingeschränkt, sondern korreliert eng mit der Mitwirkungspflicht der Asylsuchenden im Sinne von Art. 8 Abs. 1 AsylG. Für das Bundesverwaltungsgericht besteht insbesondere keine Pflicht, über die Vorbringen der Beschwerde führenden Seite hinaus den Sachverhalt vollkommen neu zu erforschen, sondern es kann sich vielmehr darauf beschränken, die Stichhaltigkeit der betreffenden Vorbringen zu prüfen, es sei denn, bereits die vorinstanzlichen Akten oder aber die Ausführungen in der Beschwerdeschrift legten zusätzliche Abklärungen zum Sachverhalt nahe (vgl. EMARK 1995 Nr. 23 E. 5a S. 222 f., BGE 110 V 52 f., Verwaltungspraxis der Bundesbehörden [VPB] 61 [1997] Nr. 31 E. 3.2.2., Kölz/Häner, a.a.O., Rz. 603, 675 f.; Ulrich Häfelin/Georg Müller, Allgemeines Verwaltungsrecht, 4. Aufl., Zürich 2002, Rz. 1625). Asylsuchende sind einerseits nach Art. 8 Abs. 1 AsylG zur Mitwirkung an der Feststellung des Sachverhalts verpflichtet. Angesichts der ausserordentlichen familiären Verhältnisse wäre es Pflicht des Beschwerdeführers gewesen, spätestens im Rahmen des Beschwerdeverfahrens die gegenüber den Müttern vorrangige Beziehung zu seinen in der Türkei lebenden Kindern zu belegen, was er nicht dargetan hat. In diesem Zusammenhang genügt es nämlich nicht, einen angeblich trotz jahrelanger Abwesenheit im Heimatland nicht abgebrochenen Kontakt zu seinen Kindern zu behaupten. Der Beschwerdeführer müsste vielmehr darlegen, dass aufgrund veränderter Betreuungsverhältnisse in der Türkei eine vorrangige Beziehung entstanden wäre, welche eine Übersiedlung der Kinder in die Schweiz rechtfertigen würde, und er auch tatsächlich in der Lage wäre, diese Betreuung persönlich zu gewährleisten. Diese Betrachtungsweise rechtfertigt sich um so mehr, als der Beschwerdeführer nicht vorbringt, er habe sich bereits um den Nachzug seiner Kinder bemüht, als er noch in Rumänien lebte. Zudem ist festzuhalten, dass die Söhne D._______, geboren am , und E._______, geboren am , zwischenzeitlich das Mündigkeitsalter erreicht haben, weshalb Art. 51 Abs. 1 AsylG nicht mehr auf sie anwendbar ist. Im Weiteren hat das Kind C._______ originär die Flüchtlingseigenschaft erlangt. Der zweitälteste Sohn D._______ reiste zwischenzeitlich ebenfalls in die Schweiz ein und stellte am 13. Juli 2007 ein Asylgesuch. Die übrigen Kinder des Beschwerdeführers, welche heute noch minderjährig sind und in der Türkei leben, wurden bisher vorrangig von ihren Müttern betreut. Die Beziehung zu ihrem Vater muss aufgrund der Aktenlage als im besten Fall sporadisch bezeichnet werden. Es würde dem Kindswohl widersprechen, die minderjährigen Kinder von ihren in der Türkei verbleibenden Müttern zu trennen, zumal nicht belegt wird, dass die Mütter mit der alleinigen Ausreise ihrer Kinder einverstanden wären, der Beschwerdeführer zu seinen Kindern eine vorrangige Beziehung unterhalten würde und tatsächlich in der Lage wäre, zusätzlich zu seinen drei in der Schweiz lebenden Kindern weitere acht Kinder zu betreuen. Die fehlende vorrangige Beziehung des Beschwerdeführers zu seinen in der Türkei lebenden Kindern steht somit in casu als besonderer Umstand dem Einbezug in die Flüchtlingseigenschaft des Beschwerdeführers entgegen. Demzufolge hat die Vorinstanz auch bezüglich der Kinder des Beschwerdeführers zu Recht den Einbezug in die Flüchtlingseigenschaft abgelehnt und die Einreisebewilligung verweigert. Bei dieser Sachlage ist es entbehrlich, die beantragten Zeugeneinvernahmen durchzuführen (zur Zulässigkeit der antizipierten Beweiswürdigung siehe EMARK 2003 Nr. 13 E. 4c S. 84; Alfred Kölz/Isabelle Häner, Verwaltungsverfahren und Verwaltungsrechtspflege des Bundes, 2. Aufl., Zürich 1998, S. 39, Rz. 111 mit Hinweis auf BGE 122 V 162, 119 Ib 505 f.). Es kann in diesem Zusammenhang auch nicht davon ausgegangen werden, die Vorinstanz habe, wie der Beschwerdeführer geltend macht, den Untersuchungsgrundsatz verletzt, weshalb kein Anlass besteht, die Sache an das Bundesamt zurückzuweisen, da der entscheidwesentliche Sachverhalt erstellt ist. Die entsprechenden Anträge werden daher abgewiesen.</w:t>
      </w:r>
    </w:p>
    <w:p>
      <w:r>
        <w:rPr>
          <w:b/>
        </w:rPr>
        <w:t>E. 6</w:t>
      </w:r>
    </w:p>
    <w:p>
      <w:r>
        <w:t>Sind die Voraussetzungen des Familienasyls im Sinne von Art. 51 Abs. 1 und 2 AsylG nicht erfüllt, können weder die Bestimmungen von Art. 8 der Konvention zum Schutze der Menschenrechte und Grundfreiheiten vom 4. November 1950 (EMRK, SR 0.101) noch jene von Art. 17 und 23 des UNO-Pakts II über bürgerliche und politische Rechte im Asylverfahren oder die Bestimmungen des KRK, welche nicht über das in Art 51 Abs. 1 und 2 AsylG betreffend Familienasyl verankterte Recht hinausgehen, ergänzend angewandt werden; die Frage nach einem allfälligen Anspruch auf Familiennachzug ist gestützt auf die vorerwähnten Bestimmungen von der zuständigen kantonalen Ausländerbehörde zu prüfen (vgl. EMARK 2002 Nr. 6 E. 5a und b S. 44 f.). Unter diesen Umständen erübrigt es sich, auf die weiteren Vorbringen und auf die als Beweismittel eingereichten Dokumente im Einzelnen einzugehen, da sie nicht zu einer anderen Beurteilung zu führen vermöchten.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und auf insgesamt Fr. 600.-- festzusetzen (Art. 16 Abs. 1 Bst. a VGG i.V.m. Art. 2 und 3 des Reglements über die Kosten und Entschädigungen vor dem Bundesverwaltungsgericht vom 20. April 2006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