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D-4180/2013 vom 9. Mai 2014</w:t>
      </w:r>
    </w:p>
    <w:p>
      <w:r>
        <w:t>Bundesverwaltungsgericht, 2014-05-09, DE</w:t>
      </w:r>
    </w:p>
    <w:p>
      <w:r>
        <w:rPr>
          <w:b/>
        </w:rPr>
        <w:t xml:space="preserve">Quelle: </w:t>
      </w:r>
      <w:r>
        <w:t>https://mcp.opencaselaw.ch/entscheid/bvger_D-4180_2013</w:t>
      </w:r>
    </w:p>
    <w:p>
      <w:r>
        <w:t>FR: TAF D-4180/2013 du 9 mai 2014</w:t>
      </w:r>
    </w:p>
    <w:p>
      <w:r>
        <w:t>IT: TAF D-4180/2013 del 9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Mit Beschwerde im Geltungsbereich des Asylgesetzes kann die Verletzung von Bundesrecht, einschliesslich Missbrauch und Überschreitung des Ermessen, und die unrichtige oder unvollständige Feststellung des rechtserheblichen Sachverhalts gerügt werden (Art. 106 Abs. 1 AsylG).</w:t>
      </w:r>
    </w:p>
    <w:p>
      <w:r>
        <w:rPr>
          <w:b/>
        </w:rPr>
        <w:t>E. 2.2</w:t>
      </w:r>
    </w:p>
    <w:p>
      <w:r>
        <w:t>Mit Beschwerde im Geltungsbereich des Ausländerrechts kann zudem die Unangemessenheit gerügt werden (Art. 112 Abs. 1 AuG [SR 142.20] i.V.m. Art. 49 VwVG, Art. 96 AuG).</w:t>
      </w:r>
    </w:p>
    <w:p>
      <w:r>
        <w:rPr>
          <w:b/>
        </w:rPr>
        <w:t>E. 2.3</w:t>
      </w:r>
    </w:p>
    <w:p>
      <w:r>
        <w:t>Der Antrag, über eine eventu­ell be­reits erfolgte Datenweitergabe an den Heimatstaat sei in einer separaten Verfügung zu informieren, erweist sich aufgrund der Aktenlage als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Beschwerdeführerin macht geltend, sich für die BDP eingesetzt zu haben. Auch wenn die Schilderungen ihres Engagements für diese Partei in zeitlicher und funktionaler Hinsicht gewisse Ungereimtheiten aufweisen (vgl. A 5/13 S. 9; A 12/18 Antworten 37 ff.), ist davon auszugehen, dass sie tatsächlich über Jahre für besagte Partei tätig war. Insoweit kommt den (auch) im Beschwerdeverfahren eingereichten Beweismitteln durchaus Beweiskraft zu. Den Eindruck, sich für die BDP besonders exponiert zu haben, vermochte sie anlässlich der Anhörung aber in keiner Weise zu vermitteln (vgl. A 12/18 beispielsweise Antworten 40 und 83). Entsprechend waren die von ihr auch in der Replik geltend gemachten Parteifunktionen nicht herausragend. Gleichwohl ist glaubhaft, dass die erwähnten Verfahren gegen sie eingeleitet wurden. Ob dies tatsächlich nur aus rechtstaatlich legitimen Motiven geschah, ist aber zumindest nicht offenkundig (vgl. dazu BVGE 2013/25). In Anbetracht des erfolgten Freispruchs im einen Verfahren und der Suspendierung des anderen verbunden mit der Möglichkeit der Verfahrenseinstellung nach drei Jahren kann aber davon abgesehen werden, auf diese Frage vertieft einzugehen (dazu untenstehend E. 5.2).</w:t>
      </w:r>
    </w:p>
    <w:p>
      <w:r>
        <w:rPr>
          <w:b/>
        </w:rPr>
        <w:t>E. 4.2</w:t>
      </w:r>
    </w:p>
    <w:p>
      <w:r>
        <w:t>Die Beschwerdeführerin gab an, Analphabetin zu sein. Dennoch wäre von ihr zu erwarten gewesen, dass sie für sie einschneidende Ereignisse wie die Festnahme von Anfang Oktober 2012 verbunden mit prekären Haftbedingungen auch in zeitlicher Hinsicht übereinstimmend hätte zu Protokoll geben können, falls sich dieser Vorfall tatsächlich so zugetragen haben sollte. Die Einschätzung des BFM, sie habe ihre Gefährdungssituation vor der Ausreise akzentuierter als tatsächlich bestehend vorgebracht, ist somit und in Würdigung weiterer Ungereimtheiten zur angeblichen behördlichen Vorgehensweise zu teilen. Stichhaltige Beschwerdeargumente für eine andere Sichtweise fehlen. Im Weiteren lassen ihre in keiner Weise substanziierten beziehungsweise stereotypen Vorbringen zur Ausreise und zum Reisepass den Verdacht aufkommen, dass hier asyltaktische Aussagen im Vordergrund standen.</w:t>
      </w:r>
    </w:p>
    <w:p>
      <w:r>
        <w:rPr>
          <w:b/>
        </w:rPr>
        <w:t>E. 5.1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5.2</w:t>
      </w:r>
    </w:p>
    <w:p>
      <w:r>
        <w:t>Die Botschaftsabklärungen haben ergeben, dass das eine Verfahren gegen die Beschwerdeführerin mit einem Freispruch endete. Das Verfahren wegen Verstosses gegen das Demonstrationsgesetz wurde am (...) Februar 2013 suspendiert. Falls die Beschwerdeführerin für einen Zeitraum von drei Jahren keine weiteren Straftaten, die unter den provisorischen Art. 1 Satz 1 des Gesetzes Nr. 6352 fallen, verübt, wird das Verfahren eingestellt. Sie wird in der Türkei nicht gesucht. Es sind keine weiteren Ermittlungs- beziehungsweise Gerichtsverfahren gegen sie hängig. Das zweite Verfahren wurde zwar erst nach ihrer Ausreise suspendiert verbunden mit der möglichen Einstellung unter der genannten Bedingung. Ob sie im Zeitpunkt der Ausreise wegen dieses Verfahrens beziehungsweise der gesamten Situation möglicherweise begründete Furcht vor ernsthaften Nachteilen hatte, ist bereits fraglich, kann aber offen gelassen werden, da im heutigen Zeitpunkt klarerweise keine solchen Anhaltspunkte (mehr) bestehen. So wird sie in ihrem Heimatland nicht gesucht. Ohne weitere, aus Sicht der türkischen Behörden relevante Delinquenz gegen das erwähnte Gesetz wird das zweite Verfahren eingestellt werden. Selbst wenn eine solche Verfahrenseinstellung nicht zustande kommen sollte, bestehen im heutigen Zeitpunkt keine konkreten Anhaltspunkte dafür, dass sie im Falle der Weiterführung des Verfahrens mit beachtlicher Wahrscheinlichkeit aus asylrelevanten Gründen zu einer Strafe verurteilt würde, zumal das andere Verfahren ja mit einem Freispruch endete. Dass sie ein gewisses, aber nicht herausragendes politisches Profil aufweist, wurde bereits festgestellt. Allein aufgrund ihrer Zugehörigkeit zur BDP bestehen aber ebenfalls keine konkreten Anhaltspunkte für eine asylrelevante staatliche Verfolgung. Eine solche Verfolgung wegen des inhaftierten Sohnes F._______ oder der verurteilten Tochter G._______ und damit eine Reflexverfolgung ist schon deshalb nicht glaubhaft, weil der Ehemann respektive Vater der Beschwerdeführenden gemäss den Akten am bisherigen Wohnort weitgehend unbehelligt leben kann. Die Behauptung in der Replik, er werde nun wegen der abwesenden Beschwerdeführerin traktiert, wirkt nachgeschoben. Die Beschwerdevorbringen beschränken sich somit im Wesentlichen darauf, eine Gefährdung der Beschwerdeführerin zu behaupten, und die Stellungnahmen von Bekannten wie die Referenzschreiben vom 12. Juli 2013, 16. Juli 2013 sowie das undatierte "Belge"-Dokument weisen auf ihre Tätigkeiten verbunden mit einer aus Sicht dieser Personen entsprechenden Gefährdung hin. In Anbetracht des klaren Abklärungsergebnisses vor Ort besteht aber auch in diesem Lichte besehen kein Anlass, auf begründete Furcht der Beschwerdeführerin und ihres Sohnes vor ernsthaften Nachteilen zu schliessen, und die blosse Mitgliedschaft bei einem kurdischen Kulturverein in der Schweiz lässt nicht per se auf subjektive Nachfluchtgründe schliessen. Soweit gemäss übersetzten Arztbericht aus der Türkei vom 21. März 2012 bei der Beschwerdeführerin Schlagspuren festgestellt wurden, ist das Beweismittel klarerweise nicht geeignet, allfällige Ursachen beziehungsweise Verursacher der Verletzungen schlüssig zu benennen. Anzufügen ist, dass die Beschwerdeführerin Schwierigkeiten mit der Familie ihres Mannes erst im Rekursverfahren deutlich machte.</w:t>
      </w:r>
    </w:p>
    <w:p>
      <w:r>
        <w:rPr>
          <w:b/>
        </w:rPr>
        <w:t>E. 5.3</w:t>
      </w:r>
    </w:p>
    <w:p>
      <w:r>
        <w:t>Unter Berücksichtigung der gesamten Umstände folgt, dass die Be­schwerdeführenden keine Gründe nach Art. 3 AsylG nachweisen oder glaub­haft machen konnten. Die Vorinstanz hat die Flüchtlingseigen­schaft zu Recht verneint und die Asylgesuche abgelehnt. An dieser Einschät­zung ver­mögen die weiteren Ausführungen in den Eingaben mangels überzeugender Argumentation nichts zu ändern. Auch die im vorinstanzlichen Verfahren eingereichten Gerichtsdokumente, welche sich auf unbestrit­tene Sachverhaltselemente beziehen, rechtfertigen in Anbetracht der Botschaftsabklärung keine andere Einschätzung; es erübrigt sich daher, diesbezüglich - wie von der Rechtsvertreterin in der Replik implizit beantragt - weitere Instruktionen vorzunehmen.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2013/2).</w:t>
      </w:r>
    </w:p>
    <w:p>
      <w:r>
        <w:rPr>
          <w:b/>
        </w:rPr>
        <w:t>E. 7.5.2</w:t>
      </w:r>
    </w:p>
    <w:p>
      <w:r>
        <w:t>Die Beschwerdeführenden stammen aus C._______ bei D._______ (E._______). Dort bestehen familiäre Anknüpfungspunkte. Ein gewisser finanzieller Rückhalt der Familie scheint vorhanden zu sein. Allfällige noch aktuelle medizinische Leiden könnten auch im Heimatland behandelt werden. Es ist entsprechend nicht davon aus­zugehen, dass sie nach ihrer Rückkehr in die Türkei dort in eine exis­tenzgefährdende Situation geraten.</w:t>
      </w:r>
    </w:p>
    <w:p>
      <w:r>
        <w:rPr>
          <w:b/>
        </w:rPr>
        <w:t>E. 7.5.3</w:t>
      </w:r>
    </w:p>
    <w:p>
      <w:r>
        <w:t>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Nachdem ihr Ge­such im Sinne von Art. 65 Abs. 1 VwVG mit Zwischenverfügung vom 18. September 2013 gutgeheissen wurde und sich ihre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