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D-4179/2023 vom 25. August 2023</w:t>
      </w:r>
    </w:p>
    <w:p>
      <w:r>
        <w:t>Bundesverwaltungsgericht, 2023-08-25, FR</w:t>
      </w:r>
    </w:p>
    <w:p>
      <w:r>
        <w:rPr>
          <w:b/>
        </w:rPr>
        <w:t xml:space="preserve">Quelle: </w:t>
      </w:r>
      <w:r>
        <w:t>https://mcp.opencaselaw.ch/entscheid/bvger_D-4179_2023</w:t>
      </w:r>
    </w:p>
    <w:p>
      <w:r>
        <w:t>FR: TAF D-4179/2023 du 25 août 2023</w:t>
      </w:r>
    </w:p>
    <w:p>
      <w:r>
        <w:t>IT: TAF D-4179/2023 del 25 agosto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Le recourant reproche au SEM un défaut d'instruction et de motivation en lien avec son état de santé et avec l'impact de cette instruction quant à son renvoi en Croatie. Ainsi, le SEM n'aurait pas suffisamment tenu compte de sa fragilité psychique, des mesures d'instruction nécessaires concernant son état de santé et de la situation problématique concernant la prise en charge médicale des personnes vulnérables en Croatie. En outre, l'intéressé allègue un manque de motivation quant à l'application de la clause de souveraineté (art. 17 par 1 RD III).</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Il ne ressort du dossier de la cause aucun manquement de la part du SEM quant à l'établissement de la situation médicale de l'intéressé. Celui-ci a été entendu par le SEM sur ses problèmes médicaux, lors de son entretien « Dublin » du 15 juin 2023. De plus, ledit Secrétariat a pris en considération l'intégralité des documents médicaux produits par le recourant depuis son arrivée en Suisse jusqu'au prononcé de la décision attaquée (cf. décision attaquée consid I, p. 2). Dès lors, force est de constater que le SEM a repris l'intégralité de ces éléments dans sa décision et a motivé les raisons pour lesquelles il a conclu que les affections présentées n'étaient pas suffisamment graves ou spécifiques pour s'opposer à un transfert en Croatie, pays qui pouvait offrir, selon lui, les soins médicaux nécessaires à l'état de santé du recourant (cf. consid. II, p. 5 et 6). De même, constatant que son état psychique était lié à sa situation actuelle et n'était pas représentatif d'une pathologie particulière, le SEM a estimé que, bien qu'un diagnostic ne fût pas encore clairement établi, rien ne laissait penser que l'intéressé pourrait souffrir de problèmes de santé susceptibles d'entraver son transfert en Croatie. Ainsi, ledit Secrétariat a considéré qu'il était en possession de tous les éléments pour pouvoir clore l'instruction de la présente procédure et rendre sa décision. Dans ces conditions, on ne saurait lui reprocher de ne pas avoir investigué plus avant l'état de santé de l'intéressé. Le SEM n'a par conséquent pas violé son devoir d'instruction d'office à ce sujet. Par ailleurs, ledit Secrétariat s'est principalement basé sur le rapport le plus récent de l'Ambassade de Suisse en Croatie qu'il avait à sa disposition au moment de la rédaction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Dès lors, les explications de l'autorité de première instance concernant la procédure d'asile et les conditions d'accueil des requérants d'asile en Croatie montrent qu'elle s'est penchée sur la situation dans ce pays. On ne saurait ainsi lui reprocher un manque de motivation. La question de savoir par contre si le SEM a insuffisamment tenu compte des particularités de la situation de l'intéressé dans sa décision, respectivement n'a pas effectué une évaluation suffisamment individualisée des risques liés à un transfert vers la Croatie, au vu de son état de santé, ressort de l'examen au fond. Le Tribunal examinera donc cette question plus loin dans ses considérants (cf. infra, consid. 6 et 7).</w:t>
      </w:r>
    </w:p>
    <w:p>
      <w:r>
        <w:rPr>
          <w:b/>
        </w:rPr>
        <w:t>E. 2.3.2</w:t>
      </w:r>
    </w:p>
    <w:p>
      <w:r>
        <w:t>De même, au regard de la situation prévalant pour les requérants d'asile en Croatie, dont les tenants et aboutissants ont été récemment confirmés dans l'arrêt de référence du Tribunal E-1488/2020 du 22 mars 2023 (cf. consid. 6.5 ci-après), le SEM n'a pas violé son obligation d'instruire les faits pertinents, l'état de santé de l'intéressé et la situation problématique concernant la prise en charge médicale des personnes vulnérables n'étant pas de nature à justifier des mesures d'instruction complémentaires, notamment en vue d'apprécier l'opportunité d'appliquer la clause de souveraineté.</w:t>
      </w:r>
    </w:p>
    <w:p>
      <w:r>
        <w:rPr>
          <w:b/>
        </w:rPr>
        <w:t>E. 2.3.3</w:t>
      </w:r>
    </w:p>
    <w:p>
      <w:r>
        <w:t>Enfin, s'agissant de la motivation de la décision entreprise, il y a lieu de constater qu'elle était suffisante pour que l'intéressé comprenne les raisons de la non-entrée en matière sur sa requête ainsi que de son transfert en Croatie et puisse utilement contester ladite décision, ce qu'il a au demeurant fait en déposant un mémoire circonstancié dans le délai de recours.</w:t>
      </w:r>
    </w:p>
    <w:p>
      <w:r>
        <w:rPr>
          <w:b/>
        </w:rPr>
        <w:t>E. 2.4</w:t>
      </w:r>
    </w:p>
    <w:p>
      <w:r>
        <w:t>Dans ces conditions, les griefs d'ordre formel invoqués par le recourant, mal fondés,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Règlement Dublin III retient le principe de l'examen de la demande par un seul Etat membre (« one chance only ») et, ce faisant, vise précisément à lutter contre les demandes d'asile multiples.</w:t>
      </w:r>
    </w:p>
    <w:p>
      <w:r>
        <w:rPr>
          <w:b/>
        </w:rPr>
        <w:t>E. 4.4</w:t>
      </w:r>
    </w:p>
    <w:p>
      <w:r>
        <w:t>Dans une procédure de reprise en charge (anglais : take back), comme en l'espèce, il n'y a en principe aucun nouvel examen de la compétence selon le chapitre III RD III (ATAF 2019 VI/7 consid. 4 à 6 ; 2017 VI/5 consid. 6.2 et 8.2.1).</w:t>
      </w:r>
    </w:p>
    <w:p>
      <w:r>
        <w:rPr>
          <w:b/>
        </w:rPr>
        <w:t>E. 4.5</w:t>
      </w:r>
    </w:p>
    <w:p>
      <w:r>
        <w:t>En effet, l'Etat membre responsable de l'examen d'une demande de protection internationale en vertu dudit règlement est tenu de reprendre en charge - dans les conditions prévues aux art. 23, 24, 25 et 29 - le requérant dont la demande est en cours d'examen et qui a présenté une demande auprès d'un autre État membre ou qui se trouve, sans titre de séjour, sur le territoire d'un autre État membre (art. 18 par. 1 let. b RD III).</w:t>
      </w:r>
    </w:p>
    <w:p>
      <w:r>
        <w:rPr>
          <w:b/>
        </w:rPr>
        <w:t>E. 5.1</w:t>
      </w:r>
    </w:p>
    <w:p>
      <w:r>
        <w:t>En l'occurrence, comme déjà relevé, les investigations entreprises par le SEM ont révélé, après consultation de l'unité centrale du système européen « Eurodac », que l'intéressé avait déposé une demande d'asile en Croatie, le 1er juin 2023.</w:t>
      </w:r>
    </w:p>
    <w:p>
      <w:r>
        <w:rPr>
          <w:b/>
        </w:rPr>
        <w:t>E. 5.2</w:t>
      </w:r>
    </w:p>
    <w:p>
      <w:r>
        <w:t>En date du 16 juin 2023, le SEM a dès lors soumis aux autorités croates compétentes, dans le délai fixé à l'art. 23 par. 2 RD III, une requête aux fins de reprise en charge, fondées sur l'art. 18 par. 1 let. b RD III.</w:t>
      </w:r>
    </w:p>
    <w:p>
      <w:r>
        <w:rPr>
          <w:b/>
        </w:rPr>
        <w:t>E. 5.3</w:t>
      </w:r>
    </w:p>
    <w:p>
      <w:r>
        <w:t>Les autorités croates ont expressément accepté cette requête en date du 30 juin 2023, sur la base de l'art. 20 par. 5 RD III.</w:t>
      </w:r>
    </w:p>
    <w:p>
      <w:r>
        <w:rPr>
          <w:b/>
        </w:rPr>
        <w:t>E. 5.4</w:t>
      </w:r>
    </w:p>
    <w:p>
      <w:r>
        <w:t>Lors de son entretien du 15 juin 2023, l'intéressé a certes nié avoir déposé une demande d'asile en Croatie. Toutefois, au vu de ce qui précède, il n'y a pas lieu de remettre en cause les résultats de l'unité centrale du système européen « Eurodac ».</w:t>
      </w:r>
    </w:p>
    <w:p>
      <w:r>
        <w:rPr>
          <w:b/>
        </w:rPr>
        <w:t>E. 5.5</w:t>
      </w:r>
    </w:p>
    <w:p>
      <w:r>
        <w:t>En conclusion, la Croatie est bien l'Etat membre tenu de reprendre en charge le recourant pour mener à terme le processus de détermination de l'Etat membre responsable de l'examen de la demande de protection internationale de celui-ci.</w:t>
      </w:r>
    </w:p>
    <w:p>
      <w:r>
        <w:rPr>
          <w:b/>
        </w:rPr>
        <w:t>E. 6.1</w:t>
      </w:r>
    </w:p>
    <w:p>
      <w:r>
        <w:t>En vertu de l'art. 3 par.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Conformément à la pratique développée par le Tribunal dans le cadre de procédures de reprise en charge Dublin (cf. parmi d'autres, arrêts du Tribunal E-5887/2022 du 13 janvier 2023 ;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entraîneraient un risque de traitement inhumain ou dégradant au sens de l'art. 4 Charte UE, et ce nonobstant les prises de position critiques de plusieurs organismes, cités à l'appui du recours.</w:t>
      </w:r>
    </w:p>
    <w:p>
      <w:r>
        <w:rPr>
          <w:b/>
        </w:rPr>
        <w:t>E. 6.5</w:t>
      </w:r>
    </w:p>
    <w:p>
      <w:r>
        <w:t>En outre, s'agissant de requérants transférés en Croatie sur la base du règlement Dublin III, le Tribunal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du Tribunal E-1488/2020 précité consid. 9.5). Enfin, l'intéressé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sa crainte d'être renvoyé par les autorités croates en Serbie n'est fondée que sur ses allégations.</w:t>
      </w:r>
    </w:p>
    <w:p>
      <w:r>
        <w:rPr>
          <w:b/>
        </w:rPr>
        <w:t>E. 6.6</w:t>
      </w:r>
    </w:p>
    <w:p>
      <w:r>
        <w:t>Par conséquent, l'application de l'art. 3 par. 2 du RD III ne se justifie pas en l'espèce. Les explications générales et abstraites du recourant relatives à la situation en Croatie ne permettent pas de parvenir à un constat différent.</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w:t>
      </w:r>
    </w:p>
    <w:p>
      <w:r>
        <w:rPr>
          <w:b/>
        </w:rPr>
        <w:t>E. 7.2</w:t>
      </w:r>
    </w:p>
    <w:p>
      <w:r>
        <w:t>Lors de son entretien individuel « Dublin » du 15 juin 2023, l'intéressé a déclaré être arrivé, le 1er juin 2023, en Croatie, où il aurait eu deux entretiens avec les autorités croates, qui lui auraient pris ses empreintes digitales. Il n'y serait resté que deux jours car son souhait était de demander l'asile en Suisse. En outre, il a expliqué que seule une petite partie de son audition avait concerné ses motifs d'asile, alors que les autorités avaient fouillé sans son accord ses affaires, son téléphone et son ordinateur et lui avaient posé des questions personnelles, notamment en relation avec les adresses et numéros de téléphone de ses proches ainsi que sur son itinéraire. De plus, il aurait été provoqué par des questions sur sa religion. Enfin, il aurait peur de retourner en Croatie, où la situation n'est pas facile, ayant également l'impression que les autorités se moquaient de lui. Au stade du recours, il a invoqué une violation de l'art. 17 par. 1 RD III en relation avec une violation des art. 3 et 13 CEDH ainsi que 3 et 14 CCT. Selon lui, en raison de l'ampleur des soins médicaux et du suivi thérapeutique qu'il doit recevoir, un transfert en Croatie l'exposerait à des traitements inhumains et dégradants.</w:t>
      </w:r>
    </w:p>
    <w:p>
      <w:r>
        <w:rPr>
          <w:b/>
        </w:rPr>
        <w:t>E. 7.3</w:t>
      </w:r>
    </w:p>
    <w:p>
      <w:r>
        <w:t>Le Tribunal rappelle d'emblée que le RD III ne confère pas aux requérants d'asile le droit de choisir l'Etat membre offrant, à leur avis, les meilleures conditions d'accueil comme Etat responsable de l'examen de leur demande d'asile (cf. ATAF 2017 VI/5 consid. 8.2.1). Par ailleurs, il y a lieu de préciser que l'intéressé n'étant au demeurant resté que deux jours sur le territoire croate, selon ses déclarations, le Tribunal ne dispose pas d'éléments concrets lui permettant de retenir que les autorités croates refuseraient de mener sa procédure d'asile conformément aux dispositions légales applicables dans ce pays et à la directive Procédure.</w:t>
      </w:r>
    </w:p>
    <w:p>
      <w:r>
        <w:rPr>
          <w:b/>
        </w:rPr>
        <w:t>E. 7.4</w:t>
      </w:r>
    </w:p>
    <w:p>
      <w:r>
        <w:t>En outre, ses déclarations ne suffisent pas non plus à établir qu'il aurait subi de la part de la police croate des traitements contraires à l'art. 3 CEDH ou à l'art. 3 CCT. Celles-ci sont en effet non seulement restées sommaires, mais encore les actes dont il aurait fait l'objet par les autorités croates, pour autant qu'ils soient avérés, n'apparaissent pas avoir atteint l'intensité pour être qualifié de traitements contraires aux dites dispositions. Par ailleurs, en procédant au relevé de ses empreintes digitales au moment de son interpellation, les autorités croates se sont conformées à leur obligation découlant de l'art. 9 par. 1 et de l'art. 14 par. 1 du règlement Eurodac. Dans ces circonstances, les allégations du recourant ne suffisent pas à établir qu'aux fins du relevé de ses empreintes et de l'enregistrement de sa demande de protection internationale, il a subi de la part de la police croate des moyens de contrainte contraires aux art. 3 CEDH ou 3 CCT. Enfin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du 30 juin 2023) risquerait de l'exposer à une situation similaire à celle qu'il dit avoir connue lors de son interpellation en tant que personne étrangère en situation irrégulière. Le rapport du Comité européen pour la prévention de la torture et des peines ou traitements inhumains ou dégradants (CPT) du 3 décembre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Cela dit, le recourant n'a pas démontré que ses conditions d'existence, en cas de retour en Croatie, revêtiraient un tel degré de pénibilité et de gravité qu'elles seraient constitutives d'un traitement contraire aux art. 3 CEDH, 3 CCT et 4 CharteUE, ou encore qu'il serait durablement privé, dans ce pays, de tout accès à des conditions matérielles minimales d'accueil prévues par la directive Accueil. Si toutefois, il devait, à l'issue de son transfert en Croatie, être contraint par les circonstances à mener une existence non conforme à la dignité humaine, ou s'il devait estimer que cet Etat ne respectait pas les directives européennes en matière d'asile, violait ses obligations d'assistance à son encontre ou de toute autre manière portait atteinte à ses droits fondamentaux, il lui appartiendrait de faire valoir ses droits directement auprès des autorités de ce pays et/ou des organisations caritatives oeuvrant sur place (cf. arrêt du Tribunal E-2755/2022 du 8 septembre 2022 consid. 5.4 et jurisp. cit.).</w:t>
      </w:r>
    </w:p>
    <w:p>
      <w:r>
        <w:rPr>
          <w:b/>
        </w:rPr>
        <w:t>E. 7.4.1</w:t>
      </w:r>
    </w:p>
    <w:p>
      <w:r>
        <w:t>S'agissant des problèmes de santé de l'intéressé,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Lors de l'entretien « Dublin » du 15 juin 2023, l'intéressé a d'abord déclaré être en bonne santé physique, mais souffrir psychologiquement, les circonstances dans son pays d'origine le déprimant. Il ressort par ailleurs du dossier que le recourant a souffert de [problèmes médicaux] et était très craintif quant à son avenir, mais ne présentait pas d'idées suicidaires. Son traitement était d'ordre médicamenteux (cf. document remis à des fins de clarifications médicales [F2] du (..) 2023). Un autre document F2 du (...) 2023 attestait que l'intéressé présentait [problèmes médicaux] et que la prise de médicaments devait être poursuivie. Le rapport médical du (...) 2023 fait état de la présence de [problèmes médicaux], alors que le traitement consiste en la prise de médicaments et en la tenue d'entretiens. Enfin, il ressort du rapport médical du (...) 2023 que l'intéressé présente toujours [problèmes médicaux] nécessitant la poursuite du traitement médicamenteux et du suivi.</w:t>
      </w:r>
    </w:p>
    <w:p>
      <w:r>
        <w:rPr>
          <w:b/>
        </w:rPr>
        <w:t>E. 7.4.2</w:t>
      </w:r>
    </w:p>
    <w:p>
      <w:r>
        <w:t>Compte tenu de la jurisprudence restrictive en la matière, il y a lieu de considérer que les problèmes médicaux précités ne sont pas d'une gravité telle qu'il se justifierait de renoncer au transfert du recourant vers la Croatie (cf., à ce sujet, arrêt de la CourEDH Paposhvili précité). 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E-474/2023 du 16 mai 2023 consid. 6.2.4 et E-2952/2023 du 31 mai 2023 consid. 7.3). En tout état de cause, les documents médicaux établis à ce jour ne mentionnent pas la nécessité d'entreprendre un suivi médical urgent, en lien avec les maladies dont souffrent le recourant, et auquel ils n'auraient pas accès en Croatie. S'agissant des problèmes psychiques dont fait état l'intéressé, le Tribunal a confirmé dans des arrêts récents que la Croatie offre des traitements contre les maladies mentales (cf. arrêts du Tribunal E-2952/2023 précité consid. 7.3 ; F-69/2023 du 25 janvier 2023 consid. 6.2 ; F-28/2023 du 11 janvier 2023 consid. 6.1.2 ; F-37/2023 du 6 janvier 2023 consid. 9.2). Il n'y pas lieu de s'écarter de cette jurisprudence, malgré la fin du mandat de « Médecins du Monde » de garantir les soins médicaux appropriés aux requérants d'asile. En effet, comme il ressort du courriel produit en annexe du recours (pièce n° 6), si le mandat en la matière fait actuellement l'objet d'un appel d'offres, la tâche est entre temps assurée par le Ministère croate de l'Intérieur, alors que la Croix-Rouge est mandatée pour l'assistance psychosociale. Par ailleurs, le rapport de « Solidarité sans frontières » du 28 juin 2023, auquel le recourant se réfère, ne saurait, en l'espèce, remettre en cause la jurisprudence précitée. On rappellera enfin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tout état de cause, il sied de rappeler que, selon la pratique du Tribunal, si des menaces auto-agressives devaient apparaître au moment de l'organisation du départ de Suisse, il appartiendrait aux autorités chargées de l'exécution du transfert de prévoir des mesures concrètes pour en prévenir la réalisation.</w:t>
      </w:r>
    </w:p>
    <w:p>
      <w:r>
        <w:rPr>
          <w:b/>
        </w:rPr>
        <w:t>E. 7.4.3</w:t>
      </w:r>
    </w:p>
    <w:p>
      <w:r>
        <w:t>Dès lors, il y a lieu de retenir que l'état de santé du recourant ne saurait faire obstacle à l'exécution de son transfert vers la Croatie.</w:t>
      </w:r>
    </w:p>
    <w:p>
      <w:r>
        <w:rPr>
          <w:b/>
        </w:rPr>
        <w:t>E. 7.4.4</w:t>
      </w:r>
    </w:p>
    <w:p>
      <w:r>
        <w:t>Cela dit, il incombera, le cas échéant, aux autorités suisses chargées de l'exécution du transfert de transmettre à leurs homologues croates, en temps utile, les renseignements permettant une prise en charge médicale adéquate de l'intéressé (art. 31 et 32 du règlement Dublin III), celui-ci ayant donné son accord écrit à la transmission d'informations médicales.</w:t>
      </w:r>
    </w:p>
    <w:p>
      <w:r>
        <w:rPr>
          <w:b/>
        </w:rPr>
        <w:t>E. 7.5</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 recourant ne saurait valablement tirer argument ni de ses allégations relatives à son vécu en Croatie, ni de sa vulnérabilité en raison de son état de santé, ni des défaillances du système d'asile et d'accueil croate pour se plaindre sous l'angle des raisons humanitaires d'une motivation insuffisante, d'un établissement inexact ou incomplet de l'état de fait pertinent ou encore d'un abus ou excès dans l'exercice du pouvoir d'appréciation.</w:t>
      </w:r>
    </w:p>
    <w:p>
      <w:r>
        <w:rPr>
          <w:b/>
        </w:rPr>
        <w:t>E. 7.6</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8</w:t>
      </w:r>
    </w:p>
    <w:p>
      <w:r>
        <w:t>Compte tenu de ce qui précède,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 Par conséquent, le recours doit être rejeté.</w:t>
      </w:r>
    </w:p>
    <w:p>
      <w:r>
        <w:rPr>
          <w:b/>
        </w:rPr>
        <w:t>E. 9</w:t>
      </w:r>
    </w:p>
    <w:p>
      <w:r>
        <w:t>Dans la mesure où il est statué sur le fond par le présent arrêt, la demande tendant à l'octroi de l'effet suspensif est sans objet, alors que les mesures superprovisonnelles prononcées le 31 juillet 2023 sont désormais caduques.</w:t>
      </w:r>
    </w:p>
    <w:p>
      <w:r>
        <w:rPr>
          <w:b/>
        </w:rPr>
        <w:t>E. 10</w:t>
      </w:r>
    </w:p>
    <w:p>
      <w:r>
        <w:t>Vu l'issue de la cause, il y aurait lieu de mettre les frais de procédure à la charge du recourant, conformément aux art. 63 al. 1 PA et art. 2 et 3 let. b FITAF (RS 173.320.2). Dans la mesure où les conclusions du recours n'étaient pas d'emblée vouées à l'échec et que l'intéressé peut être tenu pour indigent,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