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D-4173/2025 vom 9. Mai 2025</w:t>
      </w:r>
    </w:p>
    <w:p>
      <w:r>
        <w:t>Bundesverwaltungsgericht, 2025-05-09, DE</w:t>
      </w:r>
    </w:p>
    <w:p>
      <w:r>
        <w:rPr>
          <w:b/>
        </w:rPr>
        <w:t xml:space="preserve">Quelle: </w:t>
      </w:r>
      <w:r>
        <w:t>https://mcp.opencaselaw.ch/entscheid/bvger_D-4173_2025_d20250509</w:t>
      </w:r>
    </w:p>
    <w:p>
      <w:r>
        <w:t>FR: TAF D-4173/2025 du 9 mai 2025</w:t>
      </w:r>
    </w:p>
    <w:p>
      <w:r>
        <w:t>IT: TAF D-4173/2025 del 9 maggio 2025</w:t>
      </w:r>
    </w:p>
    <w:p>
      <w:pPr>
        <w:pStyle w:val="Heading2"/>
      </w:pPr>
      <w:r>
        <w:t>Regeste</w:t>
      </w:r>
    </w:p>
    <w:p>
      <w:r>
        <w:t>Asyl und Wegweisung | Asyl und Wegweisung; Verfügung des SEM vom 9.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D-4173/2025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den sinngemässen Antrag um Gewährung der aufschiebenden Wirkung der Beschwerde ist mangels Rechtsschutzinteresses nicht einzu- treten, da der Beschwerde von Gesetzes wegen aufschiebende Wirkung zukommt (Art. 55 Abs. 1 VwVG i.V.m. Art. 6 AsylG), und diese von der Vor- instanz nicht entzogen wurde. Im Übrigen ist auf die Beschwerde einzutre- ten, nachdem der Kostenvorschuss fristgerecht geleistet worden ist.</w:t>
      </w:r>
    </w:p>
    <w:p>
      <w:r>
        <w:rPr>
          <w:b/>
        </w:rPr>
        <w:t>E. 1.4</w:t>
      </w:r>
    </w:p>
    <w:p>
      <w:r>
        <w:t>Verspätete Parteivorbringen werden praxisgemäss berücksichtigt, so- weit sie ausschlaggebend erscheinen (vgl. Art. 32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D-4173/2025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mit eingehender und überzeugender Begründung dargelegt, weshalb die Vorbringen des Beschwerdeführers den Anforde- rungen an das Glaubhaftmachen eines asylrelevanten Sachverhalts im Sinne von Art. 7 AsylG nicht zu genügen vermögen. Insbesondere hat das SEM zutreffend festgehalten, dass die geltend gemachte Verfolgungsge- schichte in mehrfacher Hinsicht oberflächlich, stereotyp und schemenhaft ausgefallen sei, zahlreiche vage, unsubstantiierte und teilweise lebens- fremde Elemente enthält und in ihrer Gesamtdarstellung nicht zu überzeu- gen vermag. Vorab ist daher auf die ausführlichen Erwägungen des SEM in der angefochtenen Verfügung ist an dieser Stelle zu verweisen (…) , denen in der Beschwerdeschrift nicht Substantielles entgegengehalten wird.</w:t>
      </w:r>
    </w:p>
    <w:p>
      <w:r>
        <w:rPr>
          <w:b/>
        </w:rPr>
        <w:t>E. 5.2</w:t>
      </w:r>
    </w:p>
    <w:p>
      <w:r>
        <w:t>Soweit der Beschwerdeführer geltend macht, das SEM habe seine Aussagen nicht im Gesamtkontext gewürdigt und zu hohe Anforderungen an deren Detailtiefe gestellt, bleibt er eine nachvollziehbare Begründung seines vagen Aussageverhaltens schuldig. Trotz mehrfacher Gelegenheit, die Vorbringen frei zu schildern, fehlt es den Schilderungen insgesamt an einem persönlichen Erlebnisbezug. Namentlich in Bezug auf die angeblich erlittene Gewalt bei der Festnahme gab er lediglich an, der Offizier habe ihn mal «mit der Faust geschlagen, geohrfeigt oder […] getreten» und «alle» hätten ihn «geschlagen, wie sie wollten» (…) . Das SEM hat daher zu Recht festgehalten, dass diese Aussagen nicht die Qualität aufweisen, welche zu erwarten wären, wenn er die geltend gemachten Ereignisse selbst erlebt hätte. Die pauschale Bezugnahme auf (…) vermag diesen fehlenden Erlebnisbezug nicht zu erklären. Weiter scheint es – selbst unter Berücksichtigung der in Burundi verbreiteten Korruption – realitätsfremd, dass die Behörden den Beschwerdeführer nach der Verhaftung sofort wie- der freilassen würden, wenn sie ihn tatsächlich verdächtigt hätten, an ei- nem Anschlag im Zentrum von (…) beteiligt gewesen zu sein. Zudem ist nicht nachvollziehbar, dass der Beschwerdeführer mit Kenntnisnahme des Fahndungsbefehls nicht sofort ausgereist ist, sondern angeblich noch (…)</w:t>
      </w:r>
    </w:p>
    <w:p>
      <w:r>
        <w:t>D-4173/2025 Seite 7 in Burundi versteckt hielt und dabei das Haus nicht verlassen habe. Es muss daher in Übereinstimmung mit der Vorinstanz davon ausgegangen werden, dass es sich bei den Asylvorbringen des Beschwerdeführers um einen konstruierten Sachverhalt handelt.</w:t>
      </w:r>
    </w:p>
    <w:p>
      <w:r>
        <w:rPr>
          <w:b/>
        </w:rPr>
        <w:t>E. 5.3</w:t>
      </w:r>
    </w:p>
    <w:p>
      <w:r>
        <w:t>An dieser Schlussfolgerung vermögen auch die im vorinstanzlichen Verfahren eingereichten Beweismittel nichts zu ändern. Die vom Besch- werdeführer vorgelegten Kopien einer Vorladung vom (…) , einer Fahn- dungsanzeige vom (…) sowie eines Parteiausweises der UPD sind einfach reproduzierbare und leicht fälschbare Dokumente, denen daher von vorn- herein nur ein geringer Beweiswert zukommt. Auch die nachgereichten Ori- ginale lassen keine relevanten Sicherheitsmerkmale erkennen. Weiter ver- mögen auch erstmals im Beschwerdeverfahren eingereichten Fotos keine Hinweise auf die geltend gemachte Verfolgung zu liefern. Bei den abgebil- deten Hautveränderungen handelt es sich im Wesentlichen um Dehnungs- streifen (Striae cutis distensae, analog zu Schwangerschaftsstreifen), die keinen Anlass zu weiteren medizinischen Abklärungen geben, zumal sie sich kaum mit den vom Beschwerdeführer geltend gemachten Schlägen in Verbindung bringen lassen. Der Umstand, dass der Beschwerdeführer dennoch in offenkundig haltloser Weise behauptet, diese seien Folge phy- sischer Gewalt, lässt nicht nur jegliche Plausibilität vermissen, sondern er- schüttert seine Glaubwürdigkeit in grundlegender Weise.</w:t>
      </w:r>
    </w:p>
    <w:p>
      <w:r>
        <w:rPr>
          <w:b/>
        </w:rPr>
        <w:t>E. 5.4</w:t>
      </w:r>
    </w:p>
    <w:p>
      <w:r>
        <w:t>Insgesamt ist festzuhalten, dass es dem Beschwerdeführer nicht ge- lingt, eine gezielte staatliche Verfolgung oder eine relevante Gefahr einer sogenannten Reflexverfolgung im Sinne von Art. 3 AsylG glaubhaft zu ma- chen. Die Vorinstanz hat die Flüchtlingseigenschaft des Beschwerdefüh- 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D-4173/2025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w:t>
      </w:r>
    </w:p>
    <w:p>
      <w:r>
        <w:t>D-4173/2025 Seite 9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ist er in (…) aufgewachsen und seit dem Jahr (…) bis zu seiner Ausreise mehrheitlich in der Provinz (…) wohnhaft gewesen. Die Sicherheitslage kann sowohl in (…) als auch in (…) (vgl. Urteil des BVGer E-529/2024 vom 22. Mai 2025, E. 9.3.2) als stabil bezeichnet werden. Als junger Mann mit guter Schulbildung und tragfähigem Beziehungsnetz ist – auch unter Berücksichtigung (…) sowie der diagnostizierten (…) – nicht davon aus- zugehen, dass er im Falle einer Rückkehr in eine existenzbedrohende Not- situation geraten würde, zumal auch von einer genügenden medizinischen Versorgung vor Ort auszugehen ist (…) .</w:t>
      </w:r>
    </w:p>
    <w:p>
      <w:r>
        <w:t>D-4173/2025 Seite 10</w:t>
      </w:r>
    </w:p>
    <w:p>
      <w:r>
        <w:rPr>
          <w:b/>
        </w:rPr>
        <w:t>E. 7.3.3</w:t>
      </w:r>
    </w:p>
    <w:p>
      <w:r>
        <w:t>Nach dem Gesagten erweist sich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Für deren Begleichung ist der bereits in gleicher Höhe ge- leistete Kostenvorschuss zu verwenden.</w:t>
      </w:r>
    </w:p>
    <w:p>
      <w:r>
        <w:t>(Dispositiv nächste Seite)</w:t>
      </w:r>
    </w:p>
    <w:p>
      <w:r>
        <w:t>D-4173/2025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