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D-4173/2013 vom 20. Januar 2014</w:t>
      </w:r>
    </w:p>
    <w:p>
      <w:r>
        <w:t>Bundesverwaltungsgericht, 2014-01-20, DE</w:t>
      </w:r>
    </w:p>
    <w:p>
      <w:r>
        <w:rPr>
          <w:b/>
        </w:rPr>
        <w:t xml:space="preserve">Quelle: </w:t>
      </w:r>
      <w:r>
        <w:t>https://mcp.opencaselaw.ch/entscheid/bvger_D-4173_2013</w:t>
      </w:r>
    </w:p>
    <w:p>
      <w:r>
        <w:t>FR: TAF D-4173/2013 du 20 janvier 2014</w:t>
      </w:r>
    </w:p>
    <w:p>
      <w:r>
        <w:t>IT: TAF D-4173/2013 del 20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nachfolgenden Erwägungen - einzutreten.</w:t>
      </w:r>
    </w:p>
    <w:p>
      <w:r>
        <w:rPr>
          <w:b/>
        </w:rPr>
        <w:t>E. 1.4</w:t>
      </w:r>
    </w:p>
    <w:p>
      <w:r>
        <w:t>Das BFM bewilligte gemäss Dispositiv der angefochtenen Verfügung die Einreise in die Schweiz nicht und lehnte die Asylgesuche ab. Auf den Beschwerdeantrag auf Zuerkennung der Flüchtlingseigenschaft ist nicht einzutreten, da die vorinstanzliche Verfügung keine Feststellung betreffend die Flüchtlingseigenschaft enthält und dies somit nicht Gegenstand des Urteils sein kann.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Das Bundesamt kann ein im Ausland gestelltes Asylgesuch ablehnen, wenn die asylsuchende Person keine Verfolgung glaubhaft machen kann oder ihr die Aufnahme in einem Drittstaat zugemutet werden kann (Art. 3 und Art. 7 AsylG sowie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4.2.1</w:t>
      </w:r>
    </w:p>
    <w:p>
      <w:r>
        <w:t>Die Beschwerdeführenden wurden nicht zu ihren Asylgesuchen befragt. Sie legten ihre Vorbringen jedoch bereits im von ihrem Rechtsvertreter in der Schweiz eingereichten Asylgesuch vom 10. November 2008 schriftlich dar (vgl. Sachverhalt Bst. A). Da sich weder der Rechtsvertreter noch die Beschwerdeführenden selbst seither mit den Schweizer Behörden in Verbindung gesetzt hatten, wurde der Rechtsvertreter der Beschwerdeführenden mit Verfügung vom 7. Mai 2013 aufgefordert, dem BFM innert angesetzter Frist mitzuteilen, ob diese noch an ihren Asylgesuchen festzuhalten gedenken, und gegebenenfalls dem Bundesamt eine den Beschwerdeführenden klar zurechenbare Willensäusserung zuzustellen. Bejahendenfalls wurde den Beschwerdeführenden innert gleicher Frist die Gelegenheit eingeräumt, den Schweizer Behörden die aktuelle Situation sowie allfällige, seit dem 10. November 2008 neue und mit den Asylgesuchen zusammenhängende wichtige Ereignisse darzulegen und neue Beweismittel nachzureichen. Unter Beilage eines explizit aufgelisteten Fragekatalogs für die vollständige Erstellung des rechtserheblichen Sachverhalts wurden die Beschwerdeführenden gebeten, die entsprechenden Fragen genau und konkret zu beantworten (vgl. Sachverhalt Bst. C). Hierzu nahmen die Beschwerdeführenden am 3. Juni 2013 schriftlich Stellung (vgl. Sachverhalt Bst. D). Der entscheidwesentliche Sachverhalt erscheint angesichts der schriftlichen Dar­legung der Asylgründe (vgl. Sachverhalt Bst. A und D) soweit erstellt, dass die entscheidrelevanten Elemente vorliegen.</w:t>
      </w:r>
    </w:p>
    <w:p>
      <w:r>
        <w:rPr>
          <w:b/>
        </w:rPr>
        <w:t>E. 4.2.2</w:t>
      </w:r>
    </w:p>
    <w:p>
      <w:r>
        <w:t>Bei dieser Sachlage bestand keine Veranlassung, die Beschwer­deführenden vor­gängig eines Entscheides durch eine schweizerische Vertretung zu­sätzlich persönlich befragen zu lassen. Das BFM hat den verfahrens­rechtlichen Anforderungen damit Genüge getan.</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5.1</w:t>
      </w:r>
    </w:p>
    <w:p>
      <w:r>
        <w:t>Halten sich die asylsuchenden Personen - wie im vorliegenden Fall - in einem Drittstaat auf, bedeutet dies noch nicht zwingend, dass es ihnen auch zuzu­muten ist, sich dort um Aufnahme zu bemühen. In einem solchen Fall ist aber im Sinne einer Vermutung davon auszugehen, die betreffenden Per­sonen haben in diesem Drittstaat bereits den erforderlichen Schutz gefunden, was in der Regel zur Ablehnung der Asylgesuche und der Verweigerung der Einreisebewilligungen führt. In jedem Falle sind die Kriterien zu prüfen, welche die Zufluchtnahme in diesem Drittstaat als zumutbar erscheinen lassen, und diese sind mit einer allfälligen Beziehungsnähe zur Schweiz abzuwägen (vgl. BVGE 2011/10).</w:t>
      </w:r>
    </w:p>
    <w:p>
      <w:r>
        <w:rPr>
          <w:b/>
        </w:rPr>
        <w:t>E. 5.2</w:t>
      </w:r>
    </w:p>
    <w:p>
      <w:r>
        <w:t>Vorab ist festzuhalten, dass sich die Beschwerde auf eine grundsätzliche Wiederholung der bisherigen Vorbringen beschränkt und mithin keine neuen Sachverhaltselemente geltend gemacht werden. Die Überprüfung der Akten ergibt sodann, dass sich die diesbezüglichen Erwägungen in der angefochtenen Verfügung als zutreffend erweisen (vgl. Sachverhalt Bst. E). Das BFM hat in seiner Verfügung vom 19. Juni 2013 korrekt ausgeführt, es könne davon ausgegangen werden, dass sich die seit dem Jahre 2007 in Malaysia aufhaltenden und vom UNHCR als anerkannte Flüchtlinge mit entsprechend ausgestellten Ausweisen registrierten Beschwerdeführenden von den malaysischen Behörden wirksamen Schutz vor Verfolgung und Rückschaffung in den Heimatstaat erhalten würden. In der Beschwerde wird mit Verweis auf ein von der im Rubrum erwähnten Rechtsvertretung, namentlich in der Person des Rechtsvertreters (Anmerkung des Bundesverwaltungsgerichts), geführtes Beschwerdeverfahren (Urteil des Bundesverwaltungsgerichts D-1169/2009 vom 6. März 2009) der Einwand erhoben, dass unter anderem gemäss dem Report 2012 von Amnesty International Malaysia sicher im August 2011 gegen den Grundsatz des Non-Refoulement verstossen habe, indem es chinesische Staatsangehörige nach China abgeschoben habe. Aus demselben Bericht gehe auch hervor, dass der oberste Gerichtshof von Australien den rechtlichen Schutz für Flüchtlinge in Malaysia als nicht ausreichend beurteile. Die Situation in Malaysia präsentiere sich somit heute nicht mehr gleich wie im Zeitpunkt des Urteils D-1169/2009. Gemäss Kenntnissen des Bundesverwaltungsgerichts erweist sich der Einwand als unbegründet und die Beschwerdeführenden vermögen daraus nichts zu ihren Gunsten abzuleiten. Als vergleichsweise relativ kleine Gruppe von tamilischen Flüchtlingen haben sie von den Behörden wenig zu befürchten, da sich deren Anstrengungen in erster Linie gegen die zahlreichen burmesischen und philippinischen Einwanderer und Flüchtlinge richten. Ferner ist bekannt, dass die malaysischen Behörden in der Regel mit dem UNHCR kooperieren und diesem gar potenzielle Flüchtlinge melden. Flüchtlinge mit UNHCR-Ausweisen, welche bei gelegentlichen sich gegen illegale Migranten richtenden Razzien festgenommen werden, werden aufgrund der Dokumente wieder freigelassen. Was sodann die Erwerbstätigkeit anbelangt, so wird registrierten Flüchtlingen in Malaysia eine solche von Gesetzes wegen zwar nicht erlaubt, die Behörden intervenieren aber auch nicht, wenn die betreffenden Personen Gelegenheitsbeschäftigungen nachgehen (vgl. zum Ganzen US Department of State, Country Report on Human Rights Practices 2012 - Malaysia, 19.4.2013). In der Beschwerde wird denn auch eingestanden, dass die Beschwerdeführenden im Stundenlohn arbeiten würden, um ihren Lebensunterhalt zu bestreiten. Die Annahme der Vorinstanz in der angefochtenen Verfügung erscheint nicht abwegig, wonach sich die Beschwerdeführenden zwischenzeitlich eine wirtschaftliche Existenzgrundlage hätten erschaffen können und über ein entsprechend tragfähiges Beziehungsnetz verfügen würden. Im vorliegenden Verfahren bestehen somit keine konkreten Anhaltspunkte für die Annahme, dass ein weiterer Verbleib in Malaysia, wo die Beschwerdeführer seit nunmehr sechseinhalb Jahren leben und vom UNHCR als Flüchtling registriert sind, nicht zumutbar oder nicht möglich ist. Zur Untermauerung dieser Feststellung sei der Vollständigkeit halber noch erwähnt, dass es sich im vom Rechtsvertreter zitierten Verfahren D-1169/2009 um den Bruder der Beschwerdeführerin, V.M., handelt, der gemäss Stellungnahme vom 3. Juni 2013 zusammen mit ihr und anderen Familienangehörigen Sri Lanka im Jahre 2007 verlassen hat, inzwischen verheiratet ist, an derselben Adresse wie die Beschwerdeführenden wohnt und über eine Arbeitsbewilligung verfügt.</w:t>
      </w:r>
    </w:p>
    <w:p>
      <w:r>
        <w:rPr>
          <w:b/>
        </w:rPr>
        <w:t>E. 5.3</w:t>
      </w:r>
    </w:p>
    <w:p>
      <w:r>
        <w:t>Zusammenfassend ist festzuhalten, dass vorliegend keine konkreten Hinweise dafür bestehen, die Beschwerdeführenden seien gegenwärtig einer konkreten Gefährdung ausgesetzt oder hätten eine unmittelbar drohende Wegweisung nach Sri Lanka zu befürchten.</w:t>
      </w:r>
    </w:p>
    <w:p>
      <w:r>
        <w:rPr>
          <w:b/>
        </w:rPr>
        <w:t>E. 5.4</w:t>
      </w:r>
    </w:p>
    <w:p>
      <w:r>
        <w:t>Schliesslich ist - wie die Vorinstanz zusammenfassend festhielt - festzustellen, dass sich allein aufgrund der zwei sich in der Schweiz aufhaltenden Brüder der Beschwerdeführerin noch keine besondere Beziehungsnähe zur Schweiz ergibt, die eine Einreisebewilligung aus dem sicheren Drittstaat Malaysia begründen könnte. Die in der Beschwerde in diesem Zusammenhang gegen die vorinstanzlichen Erwägungen gerichteten Argumente sind ungeeignet respektive die in der Rechtsschrift vertretene Auffassung erweist sich als nicht stichhaltig. Zum einen wird explizit eingeräumt, dass die Beschwerdeführerin und ihre hier lebenden Brüder heute nicht mehr zur selben Kernfamilie gehören, dies aber als minderjährige Geschwister einmal getan hätten. Zum anderen wird lediglich die Sichtweise des BFM nicht geteilt, wonach sich der Grad der Beziehungsnähe von Geschwistern alleine durch langjährige Landesabwesenheit vermindere. Abschliessend wird dann ausgeführt, für die Aufnahme der Beschwerdeführenden komme aufgrund der Beziehungsnähe - unabhängig von deren Grad - kein anderer Staat als die Schweiz in Frage, wenn man zum Schluss gelange, die Beschwerdeführenden könnten weder in Sri Lanka noch in Malaysia verbleiben. Bei dieser Sachlage kann, zur Vermeidung von Wiederholungen, daher auf die diesbezüglich nicht zu beanstanden Ausführungen des BFM in der angefochtenen Verfügung sowie auf die obigen Erwägungen (E. 5.2 und 5.3) verwiesen werden.</w:t>
      </w:r>
    </w:p>
    <w:p>
      <w:r>
        <w:rPr>
          <w:b/>
        </w:rPr>
        <w:t>E. 5.5</w:t>
      </w:r>
    </w:p>
    <w:p>
      <w:r>
        <w:t>Die Beschwerdeführenden vermochten insgesamt nicht aufzuzeigen, dass sie auf die Schutzgewährung durch die Schweiz angewiesen sind beziehungsweise ihnen gerade die Schweiz den erforderlichen Schutz gewähren muss. Der weitere Verbleib in Malaysia ist ihnen nach dem Gesagten zuzumuten und die Vorinstanz hat ihnen zu Recht die Einreise in die Schweiz verweigert und die Asylgesuche abgelehnt.</w:t>
      </w:r>
    </w:p>
    <w:p>
      <w:r>
        <w:rPr>
          <w:b/>
        </w:rPr>
        <w:t>E. 6</w:t>
      </w:r>
    </w:p>
    <w:p>
      <w:r>
        <w:t>Aus diesen Erwägungen ergibt sich, dass die angefochtene Verfügung das Bundesrecht nicht verletzt, den rechtserheblichen Sachverhalt richtig und vollständig feststellt und angemessen ist (Art. 106 Abs. 1 AsylG). Das BFM hat die Asylgesuche und die Gesuche um Einreise in die Schweiz zu Recht abgelehnt. Die Beschwerde ist nach dem Gesagten abzuweisen, soweit darauf einzutreten ist.</w:t>
      </w:r>
    </w:p>
    <w:p>
      <w:r>
        <w:rPr>
          <w:b/>
        </w:rPr>
        <w:t>E. 7</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womit das Gesuch um Gewährung der unentgeltlichen Rechtspflege im Sinne von Art. 65 Abs. 1 VwVG gegen­standslos geworden ist. Das Gesuch um Verzicht auf die Erhebung eines Kostenvorschusses wird mit vorliegendem Urteil ebenfalls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