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D-4170/2010 vom 4. August 2010</w:t>
      </w:r>
    </w:p>
    <w:p>
      <w:r>
        <w:t>Bundesverwaltungsgericht, 2010-08-04, DE</w:t>
      </w:r>
    </w:p>
    <w:p>
      <w:r>
        <w:rPr>
          <w:b/>
        </w:rPr>
        <w:t xml:space="preserve">Quelle: </w:t>
      </w:r>
      <w:r>
        <w:t>https://mcp.opencaselaw.ch/entscheid/bvger_D-4170_2010</w:t>
      </w:r>
    </w:p>
    <w:p>
      <w:r>
        <w:t>FR: TAF D-4170/2010 du 4 août 2010</w:t>
      </w:r>
    </w:p>
    <w:p>
      <w:r>
        <w:t>IT: TAF D-4170/2010 del 4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Eingabe vom 7. Juni 2010 bringt der Beschwerdeführer im Wesentlichen vor, es sei nicht ersichtlich, wieso seine Angaben zu seinem Asylgesuch zu wenig konkret sein sollten. Er habe seine Erlebnisse und vor allem die Geschehnisse rund um seine Entführung genau, detailreich und ausführlich geschildert. Seine Aussagen seien daher konkret und glaubhaft.</w:t>
      </w:r>
    </w:p>
    <w:p>
      <w:r>
        <w:rPr>
          <w:b/>
        </w:rPr>
        <w:t>E. 5.2</w:t>
      </w:r>
    </w:p>
    <w:p>
      <w:r>
        <w:t>Für das Bundesverwaltungsgericht besteht nach Überprüfung der Akten jedoch keine Veranlassung, die Erwägungen des BFM zu bean-standen. Um Wiederholungen zu vermeiden, kann daher vorab auf die zutreffenden vorinstanzlichen Ausführungen in der angefochtenen Verfügung verwiesen werden. Die Vorbringen in der Rechtsmitteleingabe vom 7. Juni 2010 sind nicht geeignet, eine Änderung dieser Verfügung zu bewirken. Der Argumentation des BFM werden keine stichhaltigen Gründe entgegengesetzt. Die Vorbringen des Beschwerdeführers zu seiner angeblichen Verfolgung sind insgesamt unsubstanziiert ausgefallen. Er konnte nur vage Ausführungen dazu machen, inwieweit sein Bruder und D._______ mit den LTTE zusammengearbeitet haben. Dies ist umso erstaunlicher, als zumindest für eine gewisse Zeit diese beiden Personen in nächster Nähe zum Beschwerdeführer gewohnt haben sollen. Es ist weiter nicht nachvollziehbar, wieso der Beschwerdeführer geflüchtet ist - obwohl er nichts Genaues über die diesbezüglichen Aktivitäten seines Bruders und von D._______ wusste, und er ohnehin nicht direkt in diese involviert war - zumal er aus einem vertrauten familiären und sozialen Umfeld herausgerissen wurde und seine Berufstätigkeit aufgegeben hat. Unter den gegebenen Umständen hätte zudem erwartet werden können, dass er die Anzahl der Befrager - die ihn nach der Mitnahme durch die Polizei angeblich ausfragten und schlugen - genau hätte bestimmen können (vgl. A11, S. 10). Auch seine Aussagen zur Hausdurchsuchung sind sowohl widersprüchlich als auch unsubstanziiert ausgefallen (vgl. A11, S. 5 f.). Weil dies zentrale Elemente seiner Fluchtvorbringen sind, wären hier genaue Angaben jedoch unabdingbar gewesen. Schliesslich sind auch seine Schilderungen zur Ausreise dürftig ausgefallen (vgl. A1, S. 5 f.). So konnte er sich weder explizit an die Fluggesellschaft erinnern, mit welcher er ausreiste, noch mit Sicherheit den Ort der Zwischenlandung nennen, was ebenfalls gegen die Glaubhaftigkeit seiner Vorbringen spricht. Insgesamt wirken die Asylvorbringen des Beschwerdeführers konstruiert und es fehlt ihnen auch an sogenannten Realkennzeichen.</w:t>
      </w:r>
    </w:p>
    <w:p>
      <w:r>
        <w:rPr>
          <w:b/>
        </w:rPr>
        <w:t>E. 5.3</w:t>
      </w:r>
    </w:p>
    <w:p>
      <w:r>
        <w:t>Das Bundesverwaltungsgericht kommt somit nach einer Prüfung der Akten und der Rechtsmitteleingabe zum Schluss, dass die Ausführungen in der Beschwerde nicht geeignet sind, die Erwägungen der Vorinstanz zu entkräften. Wie bereits von der Vorinstanz treffend ausgeführt, erfüllen die Vorbringen des Beschwerdeführers die Anforde-rungen an die Glaubhaftmachung gemäss Art. 7 AsylG nicht. Es erübrigt sich, auf weitere Vorbringen in der Beschwerde einzugehen, weil sie an dieser Würdigung nichts zu ändern vermögen. Demzufolge hat das BFM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hat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w:t>
      </w:r>
    </w:p>
    <w:p>
      <w:r>
        <w:rPr>
          <w:b/>
        </w:rPr>
        <w:t>E. 7.4.2</w:t>
      </w:r>
    </w:p>
    <w:p>
      <w:r>
        <w:t>Mit solchen Massnahmen beziehungsweise Repressalien, die ein Grossteil der tamilischen Bevölkerung im ganzen Land (vor allem im Grossraum Colombo) zu erdulden hat, muss der Beschwerdeführer - welcher singhalesischer Ethnie ist und gemäss den vorliegenden Akten sowie gemäss eigenen Angaben ohnehin nie Mitglied der LTTE war und sich auch nicht politisch engagierte - jedoch nicht rechnen.</w:t>
      </w:r>
    </w:p>
    <w:p>
      <w:r>
        <w:rPr>
          <w:b/>
        </w:rPr>
        <w:t>E. 7.4.3</w:t>
      </w:r>
    </w:p>
    <w:p>
      <w:r>
        <w:t>Vorliegend sprechen auch keine individuellen Gründe gegen die Zumutbarkeit des Wegweisungsvollzugs. Der junge und gemäss Akten gesunde Beschwerdeführer verfügt über ein intaktes familiäres und soziales Beziehungsnetz an seinem letzten Wohnort in B._______ (vgl. A1, S. 3 und 5 sowie A11, S. 3 und 12). Dort betrieb er auch ein eigenes Transportgeschäft (vgl. A1, S. 2) weshalb nicht davon auszugehen ist, dass er bei einer Rückkehr in seine Heimat in eine existenzbedrohende Situation geraten könnte.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8. Juli 2010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