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D-416/2018 vom 7. Januar 2020</w:t>
      </w:r>
    </w:p>
    <w:p>
      <w:r>
        <w:t>Bundesverwaltungsgericht, 2020-01-07, DE</w:t>
      </w:r>
    </w:p>
    <w:p>
      <w:r>
        <w:rPr>
          <w:b/>
        </w:rPr>
        <w:t xml:space="preserve">Quelle: </w:t>
      </w:r>
      <w:r>
        <w:t>https://mcp.opencaselaw.ch/entscheid/bvger_D-416_2018</w:t>
      </w:r>
    </w:p>
    <w:p>
      <w:r>
        <w:t>FR: TAF D-416/2018 du 7 janvier 2020</w:t>
      </w:r>
    </w:p>
    <w:p>
      <w:r>
        <w:t>IT: TAF D-416/2018 del 7 gennaio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hielt das SEM fest, die Vorbringen des Beschwerdeführers seien unglaubhaft. So habe er an der Befragung die zwei Verhaftungen nicht erwähnt und zudem die expliziten Fragen verneint, ob er jemals in den Fokus der Polizei geraten sei, jemals Probleme mit den Behörden gehabt habe oder je in Haft gewesen sei. Auf den entsprechenden Vorhalt habe er geantwortet, dass er an der Befragung dazu keine Gelegenheit gehabt habe und aus zeitlichen Gründen die Festnahmen nicht habe erwähnen können. Allerdings sei er an der Befragung aufgefordert worden, sämtliche Ausreisegründe zu nennen. Er habe daraufhin erläutert, dass er politisch tätig gewesen sei und viele seiner Freunde verhaftet worden seien, sodass er sich zur Ausreise entschieden habe. Es sei deshalb nicht nachvollziehbar, dass er seine eigene Verhaftung dabei unerwähnt gelassen habe, obschon er kurz darauf noch einmal ausdrücklich danach gefragt worden sei. Seine Erklärungsversuche, wonach er die Frage vielleicht nicht so wahrgenommen habe, gedanklich bei der Familie gewesen sei und zudem müde von der Reise, vermöchten nicht zu überzeugen. Seine Vorbringen seien offensichtlich nachgeschoben, vermutlich in der Absicht, um sich dadurch eine bessere Ausgangslange für sein Asylverfahren zu schaffen. Bezüglich der als Beweismittel eingereichten Mitgliedschaftsbescheinigung sei zunächst festzuhalten, dass diese von geringem Beweiswert sei, da sie aus offensichtlichen Gründen einfach zu manipulieren sei und solche Bestätigungen zudem oft aus Gefälligkeit ausgestellt würden. Ausserdem sage eine solche Bestätigung wenig über die Involvierung in der Partei aus. Er habe diese Bescheinigung ferner an der Befragung nicht erwähnt, obwohl er diese gemäss deren Ausstellungsdatum bereits ein halbes Jahr vor seiner Ausreise besessen haben müsse. Vielmehr habe er da von einem Parteiausweis gesprochen, den er aus Sicherheitsgründen vernichtet habe. Es sei zudem nicht nachvollziehbar, dass er den Ausweis vernichtet, die Bescheinigung aber behalten habe. Die eingereichten Wikipeida-Artikel seien allgemeiner Natur, sodass ihnen bezüglich der Asylvorbringen des Beschwerdeführers kein Beweiswert zukomme. Mit den eingereichten Unterlagen sei somit kein Beweis erbracht, dass er ein aktives Parteimitglied gewesen oder behördlich gesucht worden sei.</w:t>
      </w:r>
    </w:p>
    <w:p>
      <w:r>
        <w:rPr>
          <w:b/>
        </w:rPr>
        <w:t>E. 5.2</w:t>
      </w:r>
    </w:p>
    <w:p>
      <w:r>
        <w:t>Der Beschwerdeführer hielt dem entgegen, er habe die Verhaftungen nicht nachgeschoben. Er stamme aus einer politisch aktiven Familie, habe sich selber politisch engagiert und sei dabei zweimal festgenommen worden, was er an der Anhörung zu Protokoll gegeben habe. Bekanntlich werde die Befragung nur summarisch durchgeführt und es werde vom Befragten verlangt, sich kurz zu fassen. Aus diesem Grund habe er die Verhaftungen zu diesem Zeitpunkt nicht erwähnt. Er sei davon ausgegangen, dass er dies erst an der Anhörung erwähnen müsse. Da habe er zu Protokoll gegeben, dass er die Festnahmen aus zeitlichen Gründen nicht habe erwähnen können und keine Gelegenheit dazu bekommen habe. Es komme hinzu, dass er sich nicht gut ausdrücken könne. Auch die Behauptungen der Vorinstanz in Bezug auf die eingereichte Mitgliederbestätigung würden nicht zutreffen. Durch diese werde bewiesen, dass er für die DBP und die HDP politisch aktiv gewesen sei. Gemäss dem türkischen Staat seien diese Parteien Unterstützer des Terrorismus. In der Tat seien diese aber die einzigen oppositionellen Parteien. Mehrere Parteifunktionäre und auch Mitglieder und Sympathisanten seien bereits in Haft, in mehreren Fällen ohne Anklageschrift. Nach dem Gesagten treffe es nicht zu, dass er in der Partei nicht exponiert gewesen sei. Bereits ein kleiner Verdacht genüge, um verhaftet zu werden. Er sei aufgrund seiner politischen Aktivitäten bereits zweimal inhaftiert worden. Aus diesem Grund sei er fichiert und das Löschen von Fichen sei nicht möglich. Willkürliche Verhaftungen und Folter seien in der Türkei an der Tagesordnung. Er stamme, wie erwähnt, aus einer politischen Familie, die aufgrund dessen bereits schwerwiegende Nachteile erlitten habe. Es sei deshalb von einer Reflexverfolgung auszugehen. Vor dem Hintergrund der neuen politischen Entwicklungen in der Türkei müsse erst Recht von einer Gefährdung bei einer Rückkehr ausgegangen werden.</w:t>
      </w:r>
    </w:p>
    <w:p>
      <w:r>
        <w:rPr>
          <w:b/>
        </w:rPr>
        <w:t>E. 6.1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Die Erwägungen des SEM sind vollumfänglich zu stützen. Zwar trifft es zu, dass an der Befragung die Asylgründe nur summarisch erfragt werden. Dennoch kann vom Beschwerdeführer erwartet werden, dass er dabei die zentralen Elemente seiner Verfolgung vorbringt, worum es sich bei den Verhaftungen klarerweise handelt. An der Anhörung erwähnte er diese bei den Asylgründen denn auch als allererstes, bevor er von seinem politischen Engagement berichtete (vgl. A19 F32). Der Beschwerdeführer wurde an der Befragung zudem gefragt, ob er je Probleme mit der Armee, der Polizei oder den Behörden gehabt habe und ob er jemals in Haft oder vor Gericht gewesen sei, was er explizit verneinte. Überdies beantwortete der Beschwerdeführer an der Anhörung Fragen zu den Verhaftungen sehr allgemein und ausweichend, sodass nicht der Eindruck entsteht, er habe diese selber erlebt. Dies vor allem auch in freier Rede, die sich gerade mal über sechs Zeilen erstreckt (vgl. A19 F32). Zu den Umständen der Verhaftung antwortete er ausweichend und machte auch auf folgende Nachfragen keinerlei Angaben. Die Gründe, weshalb ausgerechnet er verhaftet worden sei, vermochte er dabei nicht nachvollziehbar darzulegen (vgl. A19 F40 ff.). Auffallend ist zudem, dass er anlässlich der Verhaftungen angeblich jeweils einem Freund eine Mitteilung habe senden und dieser ihn nach kurzer Zeit habe ausfindig machen können, obwohl der Beschwerdeführer gemäss eigenen Angaben nicht wusste, wo er festgehalten wurde (vgl. A19 F44 ff.). Dass dieser Freund Fotograf gewesen sei, vermag dies nicht überzeugend zu erklären. Dass der Beschwerdeführer an der Anhörung verschiedene Blätter bei sich hatte, auf denen er seine Fluchtgeschichte notiert hatte, ist ein weiterer Hinweis darauf, dass er seine Vorbringen erfunden hat und anhand der Notizen auswendig lernen musste. Nach Konsultation dieser Blätter an der Anhörung korrigierte er denn auch das zweite Festnahmedatum um einen Monat (vgl. A19 F57). Es entsteht offensichtlich der Eindruck, dass der Beschwerdeführer seine Vorbringen an der Anhörung im Hinblick auf die Asylrelevanz künstlich aufzubauschen versuchte. Seine Erklärung in der Beschwerde, er habe Mühe, sich die Sachen zu merken und könne sich nicht gut ausdrücken, vermag nicht zu überzeugen.</w:t>
      </w:r>
    </w:p>
    <w:p>
      <w:r>
        <w:rPr>
          <w:b/>
        </w:rPr>
        <w:t>E. 6.3</w:t>
      </w:r>
    </w:p>
    <w:p>
      <w:r>
        <w:t>Die zu den Akten gereichte Mitgliederbestätigung könnte allenfalls ein Hinweis auf das geltend gemachte niederschwellige politische Engagement des Beschwerdeführers darstellen, vermöchte aber nicht zu belegen, dass er deswegen zweimal verhaftet wurde. Darüber hinaus kann diesbezüglich zur Vermeidung von Wiederholungen auf die überzeugenden Erwägungen der Vorinstanz verwiesen werden. Wenn in der Beschwerde ausgeführt wird, von einer Exponierung sei in jedem Fall auszugehen, da bereits ein kleiner Verdacht genüge, um verhaftet zu werden, vermag dies nicht zu überzeugen. Auch aus den allgemeinen Ausführungen zu Haft und Folter, den Parteien in der Türkei sowie zu den Verhaftungen von anderen Parteikadern oder -mitgliedern kann nichts zu Gunsten einer konkreten Verfolgungssituation des Beschwerdeführers abgeleitet werden. Zwar hat sich der Kurdenkonflikt in der Türkei zugespitzt, jedoch richten sich die Massnahmen vor allem gegen Anhänger prokurdischer Parteien, primär gegen Personen, die eine höhere Funktion innerhalb ihrer Partei oder ein politisches Amt innehaben (vgl. etwa Urteil des Bundesverwaltungsgerichts E-3814/2019 vom 9. August 2019 E. 5.5 m.w.H.). Der Beschwerdeführer verfügt indes nicht über ein entsprechendes politisches Profil. Auch unter Berücksichtigung der aktuellen Lage in der Türkei ist nicht anzunehmen, dass sein Profil für die Behörden von Interesse ist. Da die zweimalige Verhaftung unglaubhaft ist, muss auch nicht von einer Fichierung des Beschwerdeführers ausgegangen werden. Der Hinweis auf die politisch aktive Familie vermag ebenfalls nicht zu verfangen. Von einer Reflexverfolgung kann vorliegend nicht gesprochen werden.</w:t>
      </w:r>
    </w:p>
    <w:p>
      <w:r>
        <w:rPr>
          <w:b/>
        </w:rPr>
        <w:t>E. 6.4</w:t>
      </w:r>
    </w:p>
    <w:p>
      <w:r>
        <w:t>Nach dem Gesagten muss insgesamt festgehalten werden, dass die Verfolgungsvorbringen des Beschwerdeführers die Anforderungen an die Glaubhaftigkeit gemäss Art. 7 AsylG nicht erfüllen. Das SEM hat das Asylgesuch des Beschwerdeführers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Auch die allgemeine Menschenrechtssituation im Heimatstaat lässt den Wegweisungsvollzug zum heutigen Zeitpunkt nicht als unzulässig erscheinen. Aus den Akten ergeben sich keine konkreten Anhaltspunkte dafür, dass der Beschwerdeführer bei einer Rückkehr in die Türkei mit beachtlicher Wahrscheinlichkeit persönlich gefährdet wäre. Der neuerliche Hinweis in der Beschwerde auf die allgemeine Lage für politisch aktive Personen in der Türkei vermag daran nichts zu ändern. Der Vollzug der Wegweisung ist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der Türkei herrscht keine landesweite Situation allgemeiner Gewalt. Ausgenommen sind die Provinzen Hakkari und Sirnak (vgl. etwa Urteil des Bundesverwaltungsgerichts E-7083/2017 vom 3. Dezember 2019 E. 9.5 m.w.H. und auch das Referenzurteil des BVGer E-1948/2018 vom 12. Juni 2018 E. 7.3.1. f.). Der Wegweisungsvollzug in die Herkunftsprovinz des Beschwerdeführers Adana ist somit grundsätzlich zumutbar. Aus den Akten ergeben sich sodann auch keine Hinweise auf individuelle Unzumutbar-keitselemente. Das SEM führte zutreffend aus, der Beschwerdeführer sei jung, gesund und verfüge über eine mehrjährige Arbeitserfahrung sowie ein tragfähiges soziales und familiäres Beziehungsnetz in der Türkei. In der Beschwerde, die sich im Wegweisungsvollzugspunkt inhaltlich lediglich auf die Unzulässigkeit stützt, wird diesbezüglich nichts entgegengehalten.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mit der Beschwerde gestellte Gesuch um Verzicht auf die Erhebung eines Kostenvorschusses wird mit dem vorliegenden 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