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D-4166/2017 vom 11. August 2017</w:t>
      </w:r>
    </w:p>
    <w:p>
      <w:r>
        <w:t>Bundesverwaltungsgericht, 2017-08-11, DE</w:t>
      </w:r>
    </w:p>
    <w:p>
      <w:r>
        <w:rPr>
          <w:b/>
        </w:rPr>
        <w:t xml:space="preserve">Quelle: </w:t>
      </w:r>
      <w:r>
        <w:t>https://mcp.opencaselaw.ch/entscheid/bvger_D-4166_2017</w:t>
      </w:r>
    </w:p>
    <w:p>
      <w:r>
        <w:t>FR: TAF D-4166/2017 du 11 août 2017</w:t>
      </w:r>
    </w:p>
    <w:p>
      <w:r>
        <w:t>IT: TAF D-4166/2017 del 11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Beschwerdeschrift hat die Begehren, deren Begründung mit Angabe der Beweismittel und die Unterschrift des Beschwerdeführers zu enthalten (Art. 52 Abs. 1 VwVG). Bei der vorliegenden Eingabe vom 21. Juli 2017 handelt es sich um eine sogenannte Laienbeschwerde, bei denen die Anforderungen an die Formvorschriften gemäss Praxis nicht allzu hoch anzusetzen sind. Vorliegend kann aufgrund der Formulierung des Begehrens - es wird Beschwerde gegen den Asylentscheid eingelegt und darum gebeten, den Fall erneut zu überprüfen - geschlossen werden, dass der Beschwerdeführer sinngemäss die Aufhebung der angefochtenen Verfügung und die Asylgewährung in der Schweiz beantragt. Nachdem dieses Begehren kurz begründet wird und der Beschwerdeführer das Schreiben unterzeichnet hat, ist seine Eingabe als formgerechte Beschwerde zu qualifizieren. Sie wurde sodann innerhalb der Beschwerdefrist beim SEM eingereicht, womit die Frist als gewahrt gilt (Art. 108 Abs. 1 AsylG i.V.m. Art. 21 Abs. 2 VwVG). Schliesslich hat der Beschwerdeführer am Verfahren vor der Vorinstanz teilgenommen,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im Wesentlichen damit, die Vorbringen des Beschwerdeführers seien unglaubhaft, da sie äusserst vage und unsubstanziiert ausgefallen seien. So habe der Beschwerdeführer angegeben, er habe eine Vorladung für den Militärdienst erhalten. Seine Schilderung zum Erhalt der Vorladung seien jedoch sehr allgemein und oberflächlich ausgefallen und erschöpften sich in wenigen kurzen, stereotypen Sätzen. Ausserdem habe er einmal gesagt, dass er sich beim Büro der KS. 57 hätte melden sollen, während er ein anderes Mal angegeben habe, er hätte sich zu Hause bereit halten und warten müssen, bis er von Soldaten abgeholt worden wäre. Weiter entspreche das vom Beschwerdeführer beschriebene Vorgehen im Zusammenhang mit der Vorladung nicht den dem SEM bekannten Gegebenheiten Eritreas. Die Rekrutierung für den Militärdienst erfolge über das zwölfte Schuljahr in Sawa oder indem Razzien durchgeführt würden. Die Angaben des Beschwerdeführers entsprächen demgegenüber einer Vermischung zwischen einer Einberufung in die Volksarmee und einer Vorladung für den Militärdienst. Es sei auch nicht nachvollziehbar, dass der Vater an einer Versammlung teilnehmen müsse, bei welcher der Sohn zum Leisten des Militärdienstes aufgefordert werde. Sodann sei es erstaunlich, dass der Beschwerdeführer weder in der Lage gewesen sei, Informationen über die KS. 57 noch über den Militärdienst allgemein zu liefern, obwohl gemäss seinen Angaben die KS. 57 ein Büro in seinem Dorf habe und seine vier Brüder im Militärdienst seien. Zudem sei es nicht logisch, dass der Beschwerdeführer noch am selben Abend, als ihm sein Vater vom Aufgebot erzählt habe, aufgebrochen sei, ohne überhaupt das Schreiben der Soldaten zu lesen.</w:t>
      </w:r>
    </w:p>
    <w:p>
      <w:r>
        <w:rPr>
          <w:b/>
        </w:rPr>
        <w:t>E. 5.2</w:t>
      </w:r>
    </w:p>
    <w:p>
      <w:r>
        <w:t>Sodann seien die weiteren Vorbringen des Beschwerdeführers nicht asylrelevant. Er habe gemäss eigenen Angaben befürchtet, die Familie der getöteten Ehefrau seines Bruders werde sich rächen und ihn umbringen. Den Akten lasse sich aber nicht entnehmen, dass der Beschwerdeführer einer unmittelbaren Bedrohung aufgrund einer Blutrache ausgesetzt gewesen wäre, zumal sich der Bruder der Polizei gestellt habe und in Haft gekommen sei. Er habe auch weder eine konkrete Gefährdungssituation benennen noch erklären können, warum gerade er von einer Rache betroffen sein sollte.</w:t>
      </w:r>
    </w:p>
    <w:p>
      <w:r>
        <w:rPr>
          <w:b/>
        </w:rPr>
        <w:t>E. 5.3</w:t>
      </w:r>
    </w:p>
    <w:p>
      <w:r>
        <w:t>Ferner hält die Vorinstanz fest, dass der Beschwerdeführer geltend mache, er sei illegal ausgereist. Gemäss der Rechtsprechung des Bundesverwaltungsgerichts sei jedoch nicht mit überwiegender Wahrscheinlichkeit davon auszugehen, dass sich illegal ausgereiste Eritreer mit Sanktionen konfrontiert sähen, welche ernsthafte Nachteile im Sinne von Art. 3 Abs. 2 AsylG darstellten. Es seien auch keine Anknüpfungspunkte ersichtlich, welche den Beschwerdeführer in den Augen des eritreischen Regimes als missliebige Person erscheinen liessen.</w:t>
      </w:r>
    </w:p>
    <w:p>
      <w:r>
        <w:rPr>
          <w:b/>
        </w:rPr>
        <w:t>E. 6.1</w:t>
      </w:r>
    </w:p>
    <w:p>
      <w:r>
        <w:t>In der Beschwerdeschrift werden den Erwägungen der Vorinstanz keinerlei stichhaltigen Argumente entgegengesetzt. Der Beschwerdeführer beschränkt sich darauf, den Sachverhalt nochmals kurz zusammenzufassen und darauf zu verweisen, dass er ausgereist sei, um der Militärdienstpflicht zu entgehen. Man könne die Schwere seiner Situation sicher anhand von anderen, ähnlichen Schicksalen von Eritreern nachvollziehen, weshalb er um eine erneute Prüfung seines Falles bitte.</w:t>
      </w:r>
    </w:p>
    <w:p>
      <w:r>
        <w:rPr>
          <w:b/>
        </w:rPr>
        <w:t>E. 6.2</w:t>
      </w:r>
    </w:p>
    <w:p>
      <w:r>
        <w:t>Das Bundesverwaltungsgericht stellt nach Würdigung der Aktenlage zunächst fest, dass die Ausführungen des Beschwerdeführers zur Vorladung für den Militärdienst tatsächlich unsubstantiiert und oberflächlich wirken. Der freie Bericht zu den Fluchtgründen umfasst nur wenige Zeilen, und die Antworten des Beschwerdeführers beschränken sich auf kurze Sätze. Auch wenn er mehrmals aufgefordert wurde, bei seinen Ausführungen in die Tiefe zu gehen und präzisere Angaben zu machen, bleiben diese detailarm und weisen praktisch keine Realkennzeichen auf (vgl. A19, F77 f., F86, F98, F129). Es ist der Vorinstanz sodann beizupflichten, dass der geltend gemachte Ablauf der Aufforderung zum Militärdienst ungewöhnlich erscheint. Dies insbesondere auch in Anbetracht des Umstandes, dass die Brüder des Beschwerdeführers nach seinen Angaben entweder nach Sawa gingen oder im Anschluss an Razzien gezwungen wurden, sich dem Militär anzuschliessen (A19, F135). Eine schlüssige Erklärung, warum der Beschwerdeführer selbst nicht bereits zu einem früheren Zeitpunkt zum Militärdienst aufgeboten worden war, konnte er ebenfalls nicht liefern (vgl. A19, F109 ff.; F188). Zusammenfassend ergibt sich, wie von der Vorinstanz festgestellt, das Bild einer konstruierten und wenig plausiblen Asylbegründung. Die Vorbringen des Beschwerdeführers im Zusammenhang mit der Vorladung für den Militärdienst sind folglich als unglaubhaft anzusehen.</w:t>
      </w:r>
    </w:p>
    <w:p>
      <w:r>
        <w:rPr>
          <w:b/>
        </w:rPr>
        <w:t>E. 6.3</w:t>
      </w:r>
    </w:p>
    <w:p>
      <w:r>
        <w:t>Auch die Einschätzung des SEM, dass die Befürchtung eines Racheaktes von Seiten der Familie der getöteten Ehefrau seines Bruders kein Asylgrund darstellt, ist nicht zu beanstanden. Insbesondere vermochte der Beschwerdeführer nicht zu sagen, warum gerade er etwas zu befürchten hätte. Er gab lediglich an, dass die Geschwister der Ehefrau gesagt hätten, sie müssten "irgendwelche Konsequenzen daraus ziehen" (A19, F77). Auf die Frage, ob es konkrete Hinweise auf diesbezügliche Probleme gegeben hätte, antwortete er nur ausweichend, dass so etwas passieren könne, man sehe schon viele Dinge (vgl. A19, F127). Die vom Beschwerdeführer geltend gemachte Verfolgung erschöpft sich somit in einer vagen Befürchtung, dass ihm etwas angetan werden könnte. Selbst bei unterstellter Glaubhaftigkeit des Vorbringens würde ein konkret drohender Nachteil aufgrund einer Blutrache nicht auf eines der in Art. 3 Abs. 1 AsylG genannten Verfolgungsmotive zurückgehen und wäre entsprechend nicht relevant für die Asylgewährung. Eine befürchtete Blutrache wäre allenfalls - auch im Hinblick auf die von der EMRK garantierten Rechte - unter dem Aspekt der Zulässigkeit und der Zumutbarkeit des Wegweisungsvollzugs von Bedeutung.</w:t>
      </w:r>
    </w:p>
    <w:p>
      <w:r>
        <w:rPr>
          <w:b/>
        </w:rPr>
        <w:t>E. 6.4</w:t>
      </w:r>
    </w:p>
    <w:p>
      <w:r>
        <w:t>Sodann hat das SEM auch zutreffend festgehalten, dass gemäss der Rechtsprechung des Bundesverwaltungsgerichts (vgl. Urteil des BVGer D-7898/2015 vom 30. Januar 2017 [als Referenzurteil publiziert]) nicht mit überwiegender Wahrscheinlichkeit davon auszugehen ist, dass der Beschwerdeführer aufgrund der illegalen Ausreise allein mit Sanktionen zu rechnen hat, welche Nachteile im Sinne von Art. 3 AsylG darstellen würden.</w:t>
      </w:r>
    </w:p>
    <w:p>
      <w:r>
        <w:rPr>
          <w:b/>
        </w:rPr>
        <w:t>E. 6.5</w:t>
      </w:r>
    </w:p>
    <w:p>
      <w:r>
        <w:t>Zusammenfassend sind die vorinstanzlichen Erwägungen vollumfänglich zu stützen. Der Beschwerdeführer erfüllt die Flüchtlingseigenschaft nicht und das SEM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hat infolge fehlender Zumutbarkeit des Wegweisungsvollzuges die vorläufige Aufnahme des Beschwerdeführers angeordnet. Da die Wegweisungsvollzugshindernisse alternativer Natur sind (vgl. Urteil des BVGer D-3839/2013 vom 28. Oktober 2015 E. 8.4 [als Referenzurteil publiziert]; BVGE 2009/51 E. 5.4), erübrigen sich weitere Ausführungen zur Frage der Durchführbarkeit des 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