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D-4162/2012 vom 22. November 2013</w:t>
      </w:r>
    </w:p>
    <w:p>
      <w:r>
        <w:t>Bundesverwaltungsgericht, 2013-11-22, DE</w:t>
      </w:r>
    </w:p>
    <w:p>
      <w:r>
        <w:rPr>
          <w:b/>
        </w:rPr>
        <w:t xml:space="preserve">Quelle: </w:t>
      </w:r>
      <w:r>
        <w:t>https://mcp.opencaselaw.ch/entscheid/bvger_D-4162_2012</w:t>
      </w:r>
    </w:p>
    <w:p>
      <w:r>
        <w:t>FR: TAF D-4162/2012 du 22 novembre 2013</w:t>
      </w:r>
    </w:p>
    <w:p>
      <w:r>
        <w:t>IT: TAF D-4162/2012 del 22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Vorliegend wurde der Beschwerdeführer am 5. April 2012 auf der schweizerischen Vertretung in Ankara persönlich befragt. Anlässlich dieser Befragung hatte er Gelegenheit, genauere Angaben zu seinen persönlichen Lebensumständen und insbesondere zu dem gegen ihn am 24. Januar 2012 eingeleiteten, mittels verschiedener Unterlagen untermauerten Strafverfahren sowie zur aktuellen Verfolgungssituation zu machen.</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 Eine Verfolgungssituation muss überdies aktuell sein, um gemäss Art. 3 AsylG als relevant zu gelten.</w:t>
      </w:r>
    </w:p>
    <w:p>
      <w:r>
        <w:rPr>
          <w:b/>
        </w:rPr>
        <w:t>E. 4.4</w:t>
      </w:r>
    </w:p>
    <w:p>
      <w:r>
        <w:t>Die Vorinstanz erachtete es aufgrund der vorliegenden Akten als unbestritten, dass die türkischen Behörden am 24. Januar 2012 gegen den Beschwerdeführer im Zusammenhang mit Straftaten im Kontext der verbotenen PKK beziehungsweise deren Nachfolgeorganisation "Kongra Gelê Kurdistan" (abgekürzt auch "Kongra-Gel") Anklage erhoben hatten. Im Folgenden ist indessen zu prüfen, ob das BFM zu Recht zum Schluss gelangte, die gegen den Beschwerdeführer geführten strafrechtlichen Massnahmen seien aus rechtsstaatlichen Motiven und mit legitimen Methoden erfolgt, so dass dessen Schutzbedürftigkeit zu verneinen sei.</w:t>
      </w:r>
    </w:p>
    <w:p>
      <w:r>
        <w:rPr>
          <w:b/>
        </w:rPr>
        <w:t>E. 4.4.1</w:t>
      </w:r>
    </w:p>
    <w:p>
      <w:r>
        <w:t>Die eingehende Prüfung der Akten ergibt, dass die entsprechenden Ausführungen des BFM in der angefochtenen Verfügung im Ergebnis zutreffend sind, weshalb zur Vermeidung von Wiederholungen vorab auf diese verwiesen werden kann. Die sich bei den Akten befindenden Unterlagen (vgl. unter Bst. A., E.b und F.c des Sachverhalts) bestätigen, dass der Beschwerdeführer im Zusammenhang mit einem Fahrzeugbrand in B._______/Istanbul vom 14. November 2011 festgenommen worden war; bei der Durchsuchung der Taschen des Beschwerdeführers fanden die Sicherheitskräfte unter anderem ein Mobiltelefon mit Musikstücken und Bildern mit PKK-Bezug. Im Zuge des nachfolgend eingeleiteten Ermittlungsverfahren wurde der Beschwerdeführer in polizeilichen Gewahrsam genommen. Gemäss seinen Angaben war er in der Haft keinen körperlichen Misshandlungen ausgesetzt, und er wurde nach vier Tagen wieder freigelassen. Wie aus den auf Beschwerdeebene eingereichten Dokumenten ersichtlich ist, wurde er am 21. März 2013 vom (...) zu einer mehrjährigen Gefängnisstrafe verurteilt; gegen dieses Urteil habe er Rekurs eingelegt (vgl. Stellungnahme zur ergänzenden Vernehmlassung des BFM vom 4. April 2013). Weder die gerichtlichen Dokumente noch die Darlegungen in der Beschwerdeschrift und in den beiden Stellungnahmen vom 8. Oktober 2012 (Poststempel: 10. Oktober 2012) und 23. April 2013 deuten darauf hin, dass das zurzeit offenbar beim Kassationshof hängige Strafverfahren den Anforderungen an ein mit rechtsstaatlichen Mitteln geführtes Strafverfahren nicht genügen würde. Der Beschwerdeführer konnte - wie von der türkischen Strafprozessordnung bei Verdacht auf terroristische Straftaten vorgesehen - nach 48 Stunden einen Anwalt konsultieren. Das Gericht hat seine Vorbringen gehört und die vorgelegten Beweise gewürdigt, wie der erfolgte Freispruch seines Freundes N.A. sowie die Feststellung, der Beschwerdeführer sei nicht PKK-Mitglied, zeigt. Es kann davon ausgegangen werden, dass seine Verfahrensrechte auch im hängigen Rekursverfahren gewahrt werden. Aufgrund der Aktenlage ist nicht mit einem in Kürze bevorstehenden rechtskräftigen Abschluss des Strafverfahrens und - gegebenenfalls - mit einem unmittelbar anstehenden Strafvollzug zu rechnen, weshalb keine Hinweise dafür vorliegen, dass der Beschwerdeführer im jetzigen Zeitpunkt asylrechtlich relevante Nachteile zu erwarten hätte.</w:t>
      </w:r>
    </w:p>
    <w:p>
      <w:r>
        <w:rPr>
          <w:b/>
        </w:rPr>
        <w:t>E. 4.4.2</w:t>
      </w:r>
    </w:p>
    <w:p>
      <w:r>
        <w:t>Sodann kann auch der von der Vorinstanz - im Zusammenhang mit der Bemerkung des Beschwerdeführers, wegen seiner "Militärdienstflucht" keinen Reisepass zu erhalten - geäusserten Auffassung, die Einberufung in den Militärdienst sowie auch eine allfällige Verfolgung wegen Refraktion oder Desertion erfolge in der Türkei nicht aus den in Art. 3 AsylG genannten Gründen, weshalb daraus keine Schutzbedürftigkeit abgeleitet werden könne, gefolgt werden. An dieser Stelle ist darauf hinzuweisen, dass seit der Einführung des biometrischen (elektronischen) Passes in der Türkei am 1. Juni 2010 weder im Land selber noch bei den Auslandvertretungen bei der Ausstellung eines neuen elektronischen Passes ein Zusammenhang mit der Ableistung des Militärdienstes oder eines Nachweises zum Militärdienst hergestellt wird (vgl. www.hurriyet.de/haberler/gundem/913304/e-pasaportta-askerlik-belgesi-istenmeyecek).</w:t>
      </w:r>
    </w:p>
    <w:p>
      <w:r>
        <w:rPr>
          <w:b/>
        </w:rPr>
        <w:t>E. 4.4.3</w:t>
      </w:r>
    </w:p>
    <w:p>
      <w:r>
        <w:t>Des Weiteren ist in Bezug auf die Behauptung, der Krieg des türkischen Militärs gegen die Kurden sei wieder in vollem Gang (vgl. Beschwerde S. 7 f.) beziehungsweise die Türkei denke "vorläufig nicht daran, von ihrer Seite einen Waffenstillstand auszurufen und auf jeden Fall nicht, ihn einzuhalten" (vgl. Stellungnahme vom 23. April 2013 S. 2), festzuhalten, dass die Lage für die kurdische Minderheit in der Türkei zwar nach wie vor angespannt ist. Abgesehen von den Provinzen Hakkari und Sirnak hat sich die Situation für die Angehörigen der kurdischen Ethnie in letzter Zeit aber eher verbessert (vgl. Urteil D-4731/2013 vom 31. Oktober 2013 E. 7.3.1, unter Hinweis auf BVGE 2013/2 E. 9 S. 11 ff.). Die am 21. März 2013 von Abdullah Öcalan ausgesprochene Aufforderung zum Waffenstillstand ist zumindest ein Schritt, der das Ende des jahrzehntelangen Konflikts zwischen der PKK und der türkischen Regierung einleiten sowie eine merkliche Entspannung bewirken könnte. An dieser Feststellung vermögen die auf Beschwerdeebene eingereichten, teilweise dem Internet entnommenen Artikel nichts zu ändern.</w:t>
      </w:r>
    </w:p>
    <w:p>
      <w:r>
        <w:rPr>
          <w:b/>
        </w:rPr>
        <w:t>E. 4.5</w:t>
      </w:r>
    </w:p>
    <w:p>
      <w:r>
        <w:t>Schliesslich ist festzustellen, dass - auch wenn der Beschwerdeführer angibt, drei Onkel väterlicherseits lebten in der Schweiz (vgl. Vorakten A3 S. 2) - eine ausreichende Beziehungsnähe zur Schweiz zu verneinen ist (Art. 52 Abs. 2 AsylG).</w:t>
      </w:r>
    </w:p>
    <w:p>
      <w:r>
        <w:rPr>
          <w:b/>
        </w:rPr>
        <w:t>E. 4.6</w:t>
      </w:r>
    </w:p>
    <w:p>
      <w:r>
        <w:t>Der Beschwerdeführer vermochte insgesamt nicht aufzuzeigen, dass er auf die Schutzgewährung durch die Schweiz angewiesen ist beziehungsweise ihm gerade die Schweiz den erforderlichen Schutz gewähren muss. Der weitere Verbleib in der Türkei ist ihm nach dem Gesagten zuzumuten. Es kann darauf verzichtet werden, auf die übrigen Erwägungen der Vor-instanz (etwa zur Frage einer allfälligen Asylunwürdigkeit) oder auf weitere Darlegungen in der Beschwerdeschrift und in den Stellungnahmen näher einzugehen. Die Vorinstanz hat dem Beschwerdeführer zu Recht die Einreise in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von der Bedürftigkeit des sich nach wie vor in der Türkei aufhaltenden Beschwerdeführers ausgegangen werden kann, sind in Gutheissung des in der Beschwerde vom 8. August 2012 gestellten, bis anhin noch nicht behandelten Gesuches um Gewährung der unentgeltlichen Prozessführung (Art. 65 Abs. 1 VwVG)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