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D-4160/2020 vom 23. März 2022</w:t>
      </w:r>
    </w:p>
    <w:p>
      <w:r>
        <w:t>Bundesverwaltungsgericht, 2022-03-23, DE</w:t>
      </w:r>
    </w:p>
    <w:p>
      <w:r>
        <w:rPr>
          <w:b/>
        </w:rPr>
        <w:t xml:space="preserve">Quelle: </w:t>
      </w:r>
      <w:r>
        <w:t>https://mcp.opencaselaw.ch/entscheid/bvger_D-4160_2020</w:t>
      </w:r>
    </w:p>
    <w:p>
      <w:r>
        <w:t>FR: TAF D-4160/2020 du 23 mars 2022</w:t>
      </w:r>
    </w:p>
    <w:p>
      <w:r>
        <w:t>IT: TAF D-4160/2020 del 23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D-4160/2020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–vorbehältlich der E. 3.2 – einzutreten, nachdem der einver- langte Kostenvorschuss innert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Soweit der Beschwerdeführer vorbringt, die Vorinstanz habe seinen Anspruch auf rechtliches Gehör verletzt, insbesondere indem es auf die in seiner Eingabe vom 13. April 2017 gestellten Anträge nicht eingegangen sei, ist festzustellen, dass sich diese Rüge als unbegründet erweist. In der genannten Eingabe vom 13. April 2017 machte die vormalige Rechtsvertreterin des Beschwerdeführers Anhaltspunkte dafür geltend, dass das Geburtsdatum des Beschwerdeführers wohl im (…) 1999 liege und er somit zwei Jahre jünger und zum damaligen Zeitpunkt noch nicht volljährig gewesen sei. Aus diesen Gründen seien Abklärungen zum Alter des Beschwerdeführers angezeigt. Hierzu ist festzuhalten, dass eine Da- tenberichtigung im Zentralen Migrationsinformationssystem (ZEMIS) nicht Gegenstand der angefochtenen Verfügung darstellt und im Verfahren vor</w:t>
      </w:r>
    </w:p>
    <w:p>
      <w:r>
        <w:t>D-4160/2020 Seite 5 der Vorinstanz durch den damaligen Rechtsvertreter des Beschwerdefüh- rers nicht beantragt wurde. Entsprechend ist dies nicht Gegenstand der angefochtenen Verfügung. Damit kann dies auch nicht zum Gegenstand des vorliegenden Verfahrens gemacht werden. Tatsächlich warf der Be- schwerdeführer im vorinstanzlichen Verfahren lediglich die Frage auf, ob das registrierte Alter richtig erfasst sei und führte insbesondere aus, dass das in den Akten registrierte Geburtsdatum insbesondere deshalb falsch sein könnte, weil in der Türkei seine Grosseltern anstelle seiner tatsächli- chen Eltern als seine Eltern registriert worden seien.</w:t>
      </w:r>
    </w:p>
    <w:p>
      <w:r>
        <w:rPr>
          <w:b/>
        </w:rPr>
        <w:t>E. 3.2</w:t>
      </w:r>
    </w:p>
    <w:p>
      <w:r>
        <w:t>In der Sache ist die Vorinstanz durchaus auf die bereits mit Schreiben vom 3. März 2017 gemachten Vorbringen des Beschwerdeführers einge- gangen und hat im Wesentlichen festgehalten, dass er zuvor mit dem fest- gestellten Geburtsdatum vom (…) 1997 übereinstimmende Angaben ge- macht habe. Hierzu ist festzuhalten, dass der Beschwerdeführer im Rah- men der Befragung zur Person (BzP) am 3. Februar 2017 präzise darlegen konnte, inwiefern seine verwandtschaftlichen Beziehungen bei den türki- schen Behörden unzutreffend registriert worden seien und er sein eigenes Geburtsdatum mit dem (…) 1997 angegeben habe. Insofern ist der Um- stand, dass seine Grosseltern wegen des jungen Alters seiner Mutter als Eltern registriert seien, nicht geeignet, den Beschwerdeführer über sein ei- genes Geburtsdatum fehlzuleiten, da er die entsprechenden Umstände of- fensichtlich kannte. Die Würdigung der Vorinstanz ist daher nicht zu bean- standen und es bestand kein Anlass zu weitergehenden Abklärungen. Auf den Antrag des Beschwerdeführers auf Abänderung seines Geburtsda- tums ist somit nicht einzutreten.</w:t>
      </w:r>
    </w:p>
    <w:p>
      <w:r>
        <w:rPr>
          <w:b/>
        </w:rPr>
        <w:t>E. 3.3</w:t>
      </w:r>
    </w:p>
    <w:p>
      <w:r>
        <w:t>Soweit ausserdem geltend gemacht wird, das SEM habe nicht ausrei- chend dargestellt, für das vorliegende Verfahren das Dossier von Frau B._______, die seine Mutter sei, beigezogen zu haben, bleibt anzumerken, dass der Beschwerdeführer seinerseits nicht darlegt, inwiefern die Vo- rinstanz im vorliegenden Fall inhaltlich Bezug zum genannten Dossier zu nehmen hätte. Vor diesem Hintergrund kann der Vorinstanz entgegen der Annahme in der Beschwerde keine Verletzung der Abklärungspflicht oder des Anspruchs auf rechtliches Gehör vorgeworfen werden. In der Be- schwerde wird denn auch nicht aufgezeigt, zu welchen Aspekten der Be- schwerdeführer sich nicht hätte äussern können. Auch die Tatsache, dass die Vorinstanz über zweieinhalb Jahre nach der Erstbefragung zu seinen Asylgründen angehört wurde oder bis zum Asylentscheid ein weiteres Jahr verging, führte offensichtlich nicht zu einer unvollständigen oder unrichti- gen Feststellung des Sachverhalts.</w:t>
      </w:r>
    </w:p>
    <w:p>
      <w:r>
        <w:t>D-4160/2020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aus, dass der Beschwerdeführer seine Flüchtlingseigenschaft nicht habe glaubhaft dar- legen können, da er seine Tätigkeiten für die YPS (Yekîneyên Parastina Sivîl), deren Organisation und die Vorkommnisse bei behaupteten Angrif- fen der türkischen Armee auf sein Quartier in der Stadt D._______ nur oberflächlich und generell habe beschreiben können. Zudem seien seine Ausführungen zu seinen familiären Kontakten in der Türkei, namentlich sei- nem Onkel, und der Verfolgungslage sowie dem Vorliegen eines Haftbe- fehls spärlich ausgefallen. Zu seinen Pässen, deren Ausstellungorte und Verbleib habe der Beschwerdeführer widersprüchliche Aussagen gemacht. Hinsichtlich allenfalls drohender Reflexverfolgung hält die Vorinstanz mit Hinweis auf das Grundsatzurteil der Asylrekurskommission vom 8. Sep- tember 2005 (EMARK 2005/21) fest, dass der Umstand, dass Verwandte</w:t>
      </w:r>
    </w:p>
    <w:p>
      <w:r>
        <w:t>D-4160/2020 Seite 7 des Beschwerdeführers in der Türkei inhaftiert oder als Märtyrer umgekom- men seien, den strafrechtlich unbescholtenen Beschwerdeführer keiner di- rekten Gefährdung, Diskriminierung oder Schikane aussetze. Auch be- stehe keine begründete Furcht vor Verfolgung des Beschwerdeführers auf- grund seines exilpolitischen Engagements, da er nur an wenigen Anlässen teilgenommen habe, keine öffentliche Funktion innehabe und folglich nicht als in den Augen der türkischen Behörden besonders regierungskritische Person auftrete.</w:t>
      </w:r>
    </w:p>
    <w:p>
      <w:r>
        <w:rPr>
          <w:b/>
        </w:rPr>
        <w:t>E. 5.2</w:t>
      </w:r>
    </w:p>
    <w:p>
      <w:r>
        <w:t>Der Beschwerdeführer begründet seine Beschwerde im Asylpunkt zu- nächst damit, dass die Würdigung der Glaubhaftigkeit seiner Aussagen durch die Vorinstanz fehlerhaft vorgenommen worden sei und die beste- henden Realkennzeichen, die Art der Fragestellungen, das Alter des Be- schwerdeführers und die seit den relevanten Geschehnissen vergangene Zeit nicht ausreichend berücksichtigt worden seien. Überdies stellt der Be- schwerdeführer die allgemeine Lage und Verfolgungssituation in der Türkei dar.</w:t>
      </w:r>
    </w:p>
    <w:p>
      <w:r>
        <w:rPr>
          <w:b/>
        </w:rPr>
        <w:t>E. 6.1</w:t>
      </w:r>
    </w:p>
    <w:p>
      <w:r>
        <w:t>Das Bundesverwaltungsgericht gelangt nach Prüfung der Akten in Übereinstimmung mit der Vorinstanz zum Schluss, dass es dem Beschwer- deführer entgegen seinen Beschwerdevorbringen nicht gelungen ist, eine asylbeachtliche Verfolgungsgefahr im Sinne von Art. 3 und 7 AsylG glaub- haft zu machen. Nach Auffassung des Bundesverwaltungsgerichts hat die Vorinstanz in ihrer angefochtenen Verfügung nachvollziehbar und überzeu- gend aufgezeigt, die Vorbringen des Beschwerdeführers seien weder glaubhaft noch bestehe (sonst) objektiv begründete Furcht vor Verfolgung. Diesbezüglich ist zunächst zwecks Vermeidung von Wiederholungen auf die vorinstanzlichen Ausführungen zu verweisen, welche weder in rechtli- cher noch in tatsächlicher Hinsicht zu beanstanden sind und denen sich das Gericht anschliesst (vgl. E. 6.1, S. 6). Insbesondere ist entgegen dem Beschwerdeführer auch bei einer jungen und erst im Aufbau befindlichen Organisation möglich, deren Aufbau und Struktur zu beschreiben. So ist es etwa möglich, Mobilisierungskanäle (Kommunikationswege, Kontaktperso- nen, Ablauf der Anwerbung) auch dann zu beschreiben, wenn diese (noch) in improvisierter Form bestehen. Entgegen der Darstellung in der Be- schwerde trifft es auch nicht zu, dass die Vorinstanz die Prüfung der Glaub- haftigkeit der genannten Asylgründe davon abhängig macht, ob der Be- schwerdeführer die Terminologie «Haftbefehl» oder «Suchbefehl» verwen- dete und ob beides vorgelegen hat. Vielmehr legt die Vorinstanz dar, dass</w:t>
      </w:r>
    </w:p>
    <w:p>
      <w:r>
        <w:t>D-4160/2020 Seite 8 das Vorhandensein einer solchen Anordnung nicht zu eruieren sei. Tat- sächlich bestehen entgegen der Behauptung des Beschwerdeführers keine Anhaltspunkte dafür, dass der Beschwerdeführer in der von ihm dar- gestellten Weise gegen den türkischen Staat aufgetreten und vom türki- schen Staat gesucht oder identifiziert worden wäre. Der Beschwerdeführer hat keine Belege für staatliche Verfolgungshandlungen gegen ihn (etwa mit der Einreichung von Haftbefehlen oder Einträgen im sogenannten UYAP- System) beigebracht und beschränkt sich in seinen Ausführungen in weiten Teilen auf allgemeine Hinweise zur Verfolgungspraxis der Türkei. Die Ein- schätzung der Vorinstanz trifft zu, dass angesichts der damals durchaus dramatischen Lage in der Prozinz E._______ zu erwarten gewesen wäre, dass der Beschwerdeführer detaillierter und konkreter hätte Auskunft ge- ben können, wenn er tatsächlich auf die von ihm geschilderte Weise an den Auseinandersetzungen mit den türkischen Streitkräften beteiligt gewe- sen wäre.</w:t>
      </w:r>
    </w:p>
    <w:p>
      <w:r>
        <w:rPr>
          <w:b/>
        </w:rPr>
        <w:t>E. 6.2</w:t>
      </w:r>
    </w:p>
    <w:p>
      <w:r>
        <w:t>Ausserdem bringt der Beschwerdeführer in diesem Verfahren als neues Beweismittel eine Kopie einer Anklageschrift bei. Unter dem Gesichts- punkt, dass die Vorinstanz dieses Dokument als Fälschung bezeichnet und zur Begründung auf den eigenen Fachdienst verweist, ist Folgendes zu beachten: Wird einer Partei die Einsichtnahme in ein Aktenstück verwei- gert, so darf auf dieses zum Nachteil der Partei nur abgestellt werden, wenn ihr die Behörde von seinem für die Sache wesentlichen Inhalt münd- lich oder schriftlich Kenntnis und ihr ausserdem Gelegenheit gegeben hat, sich zu äussern und Gegenbeweismittel zu bezeichnen. Das hat die Vo- rinstanz vorliegend unterlassen; sie beschränkte sich vielmehr auf den Hin- weis, dass das Dokument «mehrere grobe strukturelle und inhaltliche Feh- ler enthält» und sich deshalb als «Totalfälschung» herausstelle. Dem Be- schwerdeführer ist insofern zuzustimmen, dass auf die interne Begutach- tung der Vorinstanz nicht zu seinem Nachteil abgestellt werden darf, weil es ihm nicht möglich ist, sich in geeigneter Weise zu Methodik der Echtheitsprüfung zu äussern. Vorliegend kann die Frage der Authentizität indes offenbleiben. Denn das eingereichte als Anklageschrift bezeichnete Dokument beschreibt inhaltlich keine strafrechtlich relevanten Sachver- halte. Gemäss der vom Beschwerdeführer eingereichten Übersetzung des Dokuments soll ein Anzeigeerstatter ausgesagt haben, der Beschwerde- führer habe ihn vergeblich aufgefordert, sich einer (ungenannten) Bewe- gung anzuschliessen. Ausserdem habe der Beschwerdeführer in den Re- gionen D._______ und F._______ «Aktionen» durchgeführt. Abgesehen davon, dass die Schilderung der sogenannten Vorwürfe äusserst knapp</w:t>
      </w:r>
    </w:p>
    <w:p>
      <w:r>
        <w:t>D-4160/2020 Seite 9 ausfällt, sind diese in keiner Weise konkret, noch ist ersichtlich, wie sie un- ter einen Straftatbestand subsumierbar sein könnten. Im eingereichten Do- kument fehlen Angaben dazu, für welche (allenfalls terroristische respek- tive kriminelle) Bewegung der Angeklagte geworben haben soll oder mit welchen Gruppierungen diese im Zusammenhang stehen und welcher Art von ihm durchgeführte «Aktionen» gewesen sein sollen. Aus diesen Grün- den kann der «Anklageschrift» - unabhängig von der Frage ihrer Authenti- zität – hinsichtlich des Vorliegens asylrechtlich relevanter Sachverhalte von vornherein kein Beweiswert beigemessen werden.</w:t>
      </w:r>
    </w:p>
    <w:p>
      <w:r>
        <w:rPr>
          <w:b/>
        </w:rPr>
        <w:t>E. 6.3</w:t>
      </w:r>
    </w:p>
    <w:p>
      <w:r>
        <w:t>Der Beschwerdeführer reichte im Beschwerdeverfahren schliesslich ei- nen an das «Innenministerium der Schweiz» adressierten Brief eines On- kels mütterlicherseits ein, worin dieser schildert, es liege ein Haftbefehl ge- gen seinen Neffen vor und er werde regelmässig von der Polizei über den Verbleib seines Neffen verhört. Bei einem dieser Verhöre sei er geschlagen worden, weshalb der Onkel nun die Schweiz um eine Bestätigung zuhan- den der türkischen Behörden ersuche, dass der Beschwerdeführer sich in der Schweiz aufhalte. Hinsichtlich der Aussagekraft dieses Beweismittels ist zu berücksichtigen, dass dieses Schreiben zwar an die schweizerischen Behörden adressiert ist, aber an die Mutter des Beschwerdeführers ver- sandt wurde. Es ist auch nicht plausibel, dass der Onkel des Beschwerde- führers davon ausgehen soll, dass ihm die Schweiz in einem Asylverfahren dazu Auskunft erteilen würde. Dies erweckt den Eindruck eines Gefällig- keitsschreibens, das ausschliesslich zu dem Zweck verfasst wurde, als Be- weismittel im vorliegenden Verfahren zu dienen. Somit ist dieses Beweis- mittel nicht geeignet, eine asylrelevante Verfolgung zu belegen oder glaub- haft zu machen.</w:t>
      </w:r>
    </w:p>
    <w:p>
      <w:r>
        <w:rPr>
          <w:b/>
        </w:rPr>
        <w:t>E. 6.4</w:t>
      </w:r>
    </w:p>
    <w:p>
      <w:r>
        <w:t>Zusammenfassend ist somit festzuhalten, dass der Beschwerdeführer nichts vorgebracht hat, was geeignet wäre, seine Flüchtlingseigenschaft nachzuweisen oder zumindest glaubhaft zu machen. Die Vorinstanz hat das Asylgesuch des Beschwerdeführers somit richtigerweise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D-4160/2020 Seite 10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D-4160/2020 Seite 11 keine Anwendung finden. Die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Die Vorinstanz hielt in der angefochtenen Verfügung mit Hinweis auf den Grundsatzentscheid vom 5. März 2013 (E-2560/2011) fest, dass der Wegweisungsvollzug in die Provinzen Sirnak und Hakkari aufgrund einer Situation allgemeiner Gewalt unzumutbar sei, jedoch in der Türkei die Orte G._______ und H._______ eine innerstaatliche Aufenthaltsalternative dar- stellten. In G._______ verfüge der Beschwerdeführer über eine als Tante bezeichnete Kontaktperson, bei der er schon mehrere Monate habe leben können, weshalb vom Vorhandensein eines tragfähigen Beziehungsnetzes auszugehen sei. Aufgrund der früheren Erwerbstätigkeit des Beschwerde- führers im Tourismusbereich sei schliesslich davon auszugehen, dass ihm die Wiederaufnahme einer beruflichen Tätigkeit im Heimatstaat gelingen werde. Der Beschwerdeführer lebte in der Vergangenheit in D._______ (Provinz E._______) und für einen kurzen Zeitraum in Istanbul, wobei er an beiden</w:t>
      </w:r>
    </w:p>
    <w:p>
      <w:r>
        <w:t>D-4160/2020 Seite 12 Orten Bezugspersonen hat. Soweit er vorbringt, er sei mit seiner Familie väterlicherseits nun verfeindet, weil er mit seiner Mutter Kontakt aufgenom- men habe, ergibt sich daraus nicht, dass er deswegen einer Gefährdung ausgesetzt wäre. Auf den Umstand, dass die Mutter des Beschwerdefüh- rers in der Schweiz lebt, geht die Vorinstanz zwar nicht ein und der Be- schwerdeführer beweist mit der DNA-Analyse seine Abstammung von sei- ner Mutter. Vom Bundesverwaltungsgericht wird nicht in Abrede gestellt, dass die familiäre Situation des volljährigen Beschwerdeführers in der Tür- kei aus seiner Sicht weniger vorteilhaft sein könnte als in der Schweiz bei der hier lebenden Mutter. Dieser Umstand reicht indessen nicht aus, die Rückkehr in die Türkei insgesamt unzumutbar erscheinen zu lassen. Ins- besondere vor dem Hintergrund, dass der Beschwerdeführer zuvor über Monate in G._______ aufgenommen wurde, zeigt sich, dass er in seinem Herkunftsstaat und namentlich auch in G._______ über ein tragfähiges Be- ziehungsnetz verfügt. Auch ist seine Kontaktperson in G._______, die er als Tante bezeichnet, nicht der seiner angeblich nun mit ihm verfeindeten Familie väterlicherseits zuzurechnen. Inwiefern die Aufenthaltsalternative in G._______ nicht mehr bestehen soll, wird vom Beschwerdeführer nicht dargetan. Die angefochtene vorinstanzliche Verfügung bejaht die Zumut- barkeit des Wegweisungsvollzugs somit richtigerweise. Nach dem Gesagten erweist sich der Vollzug der Wegweisung auch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D-4160/2020 Seite 13</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von Fr. 750.– wird zur Bezahlung der Verfahrenskosten verwendet.</w:t>
      </w:r>
    </w:p>
    <w:p>
      <w:r>
        <w:t>(Dispositiv nächste Seite)</w:t>
      </w:r>
    </w:p>
    <w:p>
      <w:r>
        <w:t>D-4160/2020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