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D-4153/2020 vom 4. September 2020</w:t>
      </w:r>
    </w:p>
    <w:p>
      <w:r>
        <w:t>Bundesverwaltungsgericht, 2020-09-04, DE</w:t>
      </w:r>
    </w:p>
    <w:p>
      <w:r>
        <w:rPr>
          <w:b/>
        </w:rPr>
        <w:t xml:space="preserve">Quelle: </w:t>
      </w:r>
      <w:r>
        <w:t>https://mcp.opencaselaw.ch/entscheid/bvger_D-4153_2020</w:t>
      </w:r>
    </w:p>
    <w:p>
      <w:r>
        <w:t>FR: TAF D-4153/2020 du 4 septembre 2020</w:t>
      </w:r>
    </w:p>
    <w:p>
      <w:r>
        <w:t>IT: TAF D-4153/2020 del 4 settembre 2020</w:t>
      </w:r>
    </w:p>
    <w:p>
      <w:pPr>
        <w:pStyle w:val="Heading2"/>
      </w:pPr>
      <w:r>
        <w:t>Regeste</w:t>
      </w:r>
    </w:p>
    <w:p>
      <w:r>
        <w:t>Asyl und Wegweisung (Mehrfachgesuch/Wiedererwägung)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Die Beschwerde ist frist- und formgerecht eingereicht worden. Hinsichtlich der Form ist anzumerken, dass die Beschwerde zwar inhaltlich identisch ist mit dem Mehrfachgesuch vom 28. Juli 2020, jedoch das Datum (20. August 2020) sowie der Adressat (Bundesverwaltungsgericht) angepasst wurden, weshalb von einem bestehenden Beschwerdewillen auszugehen ist. Der Eingabe können zudem ohne weiteres Anträge und eine Begründung entnommen werden. Der Beschwerdeführer hat ferner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nachstehenden Ausführungen unter E. 4 und 5.2 -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wird unter anderem beantragt, die kantonalen Behörden seien anzuweisen, von Vollzugshandlungen abzusehen (vgl. S. 3 letzter Absatz der Beschwerde). Auf dieses Rechtsbegehren ist nicht einzutreten, da der Beschwerde grundsätzlich von Gesetzes wegen aufschiebende Wirkung zukommt (vgl. Art. 55 Abs. 1 VwVG) und das SEM diese nicht entzogen hat, weshalb der Beschwerdeführer den Ausgang des Beschwerdeverfahrens in der Schweiz abwarten darf (vgl. auch Art. 42 AsylG).</w:t>
      </w:r>
    </w:p>
    <w:p>
      <w:r>
        <w:rPr>
          <w:b/>
        </w:rPr>
        <w:t>E. 5.1</w:t>
      </w:r>
    </w:p>
    <w:p>
      <w:r>
        <w:t>Im vorliegenden Verfahren stellt sich ausschliesslich die Frage, ob die Vorinstanz zu Recht infolge mangelhafter Begründung auf das neue Asylgesuch des Beschwerdeführers nicht eingetreten ist (vgl. Art. 111c Abs. 1 Satz 1 AsylG). Die Beschwerdeinstanz enthält sich - sofern sie den Nichteintretensentscheid als unrechtmässig erachtet - einer selbständigen materiellen Prüfung; sie hebt die angefochtene Verfügung auf und weist die Sache zu neuer Entscheidfindung an die Vorinstanz zurück (vgl. BVGE 2007/8 E. 2.1 m.w.H.).</w:t>
      </w:r>
    </w:p>
    <w:p>
      <w:r>
        <w:rPr>
          <w:b/>
        </w:rPr>
        <w:t>E. 5.2</w:t>
      </w:r>
    </w:p>
    <w:p>
      <w:r>
        <w:t>Auf die in der Eingabe vom 20. August 2020 gestellten Anträge, es sei die Flüchtlingseigenschaft festzustellen und Asyl zu gewähren (vgl. S. 3 letzter Absatz der Beschwerde), ist demnach nicht einzutreten.</w:t>
      </w:r>
    </w:p>
    <w:p>
      <w:r>
        <w:rPr>
          <w:b/>
        </w:rPr>
        <w:t>E. 5.3</w:t>
      </w:r>
    </w:p>
    <w:p>
      <w:r>
        <w:t>Im Wegweisungs- und Vollzugspunkt hat die Vorinstanz eine materielle Prüfung vorgenommen, weshalb dem Bundesverwaltungsgericht diesbezüglich volle Kognition zukommt.</w:t>
      </w:r>
    </w:p>
    <w:p>
      <w:r>
        <w:rPr>
          <w:b/>
        </w:rPr>
        <w:t>E. 6.1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7.1</w:t>
      </w:r>
    </w:p>
    <w:p>
      <w:r>
        <w:t>Im vorliegenden Fall hat das SEM die Vorbringen des Beschwerdeführers in seinem Mehrfachgesuch vom 28. Juli 2020 zu Recht als nicht gehörig begründet erachtet.</w:t>
      </w:r>
    </w:p>
    <w:p>
      <w:r>
        <w:rPr>
          <w:b/>
        </w:rPr>
        <w:t>E. 7.2</w:t>
      </w:r>
    </w:p>
    <w:p>
      <w:r>
        <w:t>Sowohl das SEM als auch das Bundesverwaltungsgericht erachteten die vom Beschwerdeführer im ersten Asylverfahren geltend gemachte behördliche Verfolgung vor der Ausreise aus Sri Lanka (respektive auch noch kurz danach) infolge widersprüchlicher und unsubstanziierter Angaben als unglaubhaft und verneinten zudem das Vorliegen von relevanten Risikofaktoren im Sinne des Referenzurteils E-1866/2015 vom 15. Juli 2016 (vgl. dazu vorstehend Bst. A). Die im Rahmen des ersten Mehrfachgesuchs geltend gemachte Gefährdung infolge der Machtergreifung des Rajapaksa-Clans im November 2019 qualifizierten die Asylbehörden als offensichtlich unbegründet. Im entsprechenden Beschwerdeurteil D-201/2020 vom 30. April 2020 wurde dabei erneut festgehalten, der Beschwerdeführer erfülle keines der einschlägigen Risikoprofile (vgl. dazu vorstehend Bst. C).</w:t>
      </w:r>
    </w:p>
    <w:p>
      <w:r>
        <w:rPr>
          <w:b/>
        </w:rPr>
        <w:t>E. 7.3</w:t>
      </w:r>
    </w:p>
    <w:p>
      <w:r>
        <w:t>Die Vorbringen im aktuellen Mehrfachgesuch vom 28. Juli 2020 respektive in der sinngemässen Beschwerde vom 20. August 2020 sowie die damit eingereichten Beweismittel sind offensichtlich nicht geeignet, an der vorstehend dargelegten vorinstanzlichen Einschätzung etwas zu ändern. Der Beschwerdeführer macht dabei geltend, sein Risikoprofil müsse aufgrund der eingereichten Beweismittel neu überprüft werden. Die fraglichen Beweismittel sind indessen allesamt als offenkundig ungeeignet zu erachten. In Bezug auf die eingereichten Fotos - welche gemäss Darlegung des Beschwerdeführers zeigen, wie Polizisten seine Mutter und seine Freundin befragen - ist festzustellen, dass daraus nicht hervorgeht, wann und wo diese Aufnahmen entstanden sind. Zudem sind die abgebildeten Personen vom Gericht nicht identifizierbar, und die Fotos ermöglichen keine Rückschlüsse auf den Kontext der darauf abgebildeten Szenen. Diese Fotos sind daher offensichtlich nicht geeignet glaubhaft zu machen, dass die Angehörigen des Beschwerdeführers irgendwann in diesem Jahr zu seinem Verbleib befragt worden sind. Beim als «Polizeivorladung» bezeichneten Dokument vom (...) 2020 handelt es sich um ein Nachrichtenformular («Message Form»), worin das TID in C._______ die Polizeibehörde in D._______ auffordert, den Beschwerdeführer anzuweisen, sich bis zum (...) 2020 beim TID in C._______ zu melden, andernfalls ein Haftbefehl gegen diesen ausgestellt werde. Das SEM hat zutreffend darauf hingewiesen, dass es sich dabei um ein vorbestandenes Beweismittel handelt, weshalb dieser Sachverhalt grundsätzlich revisionsweise beim Bundesverwaltungsgericht vorzutragen wäre. Allerdings wäre dieses Beweismittel aufgrund der hohen Fälschungsanfälligkeit derartiger Dokumente sowie infolge inhaltlicher Unstimmigkeiten (Absender im Briefkopf [TID C._______] stimmt nicht mit der unterzeichnenden Amtsstelle [Polizei Hauptquartier D._______] überein / nicht plausibel, dass dem Beschwerdeführer das Original dieses polizeiinternen Dokuments ausgehändigt worden sein soll) ohnehin als unerheblich zu erachten.</w:t>
      </w:r>
    </w:p>
    <w:p>
      <w:r>
        <w:rPr>
          <w:b/>
        </w:rPr>
        <w:t>E. 7.4</w:t>
      </w:r>
    </w:p>
    <w:p>
      <w:r>
        <w:t>Nach dem Gesagten ist festzustellen, dass das Mehrfachgesuch vom 28. Juli 2020 nicht gehörig begründet ist (vgl. Art. 111c Abs. 1 AsylG). Das SEM ist daher zu Recht in Anwendung von Art. 13 Abs. 2 VwVG auf das Gesuch nicht eingetreten.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9.2.2</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9.2.3</w:t>
      </w:r>
    </w:p>
    <w:p>
      <w:r>
        <w:t>Der Vollzug ist schliesslich nicht möglich, wenn die Ausländerin oder der Ausländer weder in den Heimat- oder in den Herkunftsstaat noch in einen Drittstaat ausreisen oder dorthin gebracht werden kann (Art. 83 Abs. 2 AlG).</w:t>
      </w:r>
    </w:p>
    <w:p>
      <w:r>
        <w:rPr>
          <w:b/>
        </w:rPr>
        <w:t>E. 9.3</w:t>
      </w:r>
    </w:p>
    <w:p>
      <w:r>
        <w:t>Der Vollzug der Wegweisung des Beschwerdeführers wurde bereits in den vorangehenden Beschwerdeurteilen (vgl. D-2614/2018 vom 9. September 2019 E. 9 ff. sowie D-201/2020 vom 30. April 2020 E. 8 ff.) als zulässig, zumutbar und möglich bezeichnet. Die entsprechenden Erwägungen, auf welche an dieser Stelle verwiesen wird, erweisen sich weiterhin als gültig, zumal weder dem Mehrfachgesuch vom 28. Juli 2020 noch der Beschwerde vom 20. August 2020 konkrete und glaubhafte Hinweise auf das Bestehen von (neuen) Wegweisungsvollzugshindernissen entnommen werden können.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9.4</w:t>
      </w:r>
    </w:p>
    <w:p>
      <w:r>
        <w:t>Demnach hat die Vorinstanz den Wegweisungsvollzug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11</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