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D-4148/2006 vom 25. September 2009</w:t>
      </w:r>
    </w:p>
    <w:p>
      <w:r>
        <w:t>Bundesverwaltungsgericht, 2009-09-25, FR</w:t>
      </w:r>
    </w:p>
    <w:p>
      <w:r>
        <w:rPr>
          <w:b/>
        </w:rPr>
        <w:t xml:space="preserve">Quelle: </w:t>
      </w:r>
      <w:r>
        <w:t>https://mcp.opencaselaw.ch/entscheid/bvger_D-4148_2006</w:t>
      </w:r>
    </w:p>
    <w:p>
      <w:r>
        <w:t>FR: TAF D-4148/2006 du 25 septembre 2009</w:t>
      </w:r>
    </w:p>
    <w:p>
      <w:r>
        <w:t>IT: TAF D-4148/2006 del 25 settembre 2009</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Les recours pendants devant la Commission au 31 décembre 2006 sont traités, dès le 1er janvier 2007, par le Tribunal dans la mesure où il est compétent (art. 53 al. 2 LTAF). Tel est le cas en l'espèce.</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Le recourant a qualité pour recourir (art. 48 PA, dans sa version en vigueur avant le 1er janvier 2007) et son mandataire, au bénéfice d'une procuration écrite, le représente légitimement. Interjeté dans la forme et les délais prescrits par la loi (art. 52 PA et art. 50 al. 1 PA, dans sa version antérieure au 1er janvier 2007, s'agissant d'un recours déposé avant cette date),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 en particulier faits nouveaux importants ou moyens de preuves nouveaux qui n'avaient pas pu être invoqués dans la procédure ordinaire (« demande de réexamen qualifiée ») - ou lorsque les circonstances (de fait ou de droit) se sont modifiées dans une mesure notable depuis le prononcé de la première décision. Dans ces hypothèses, la demande de réexamen doit être considérée comme un moyen de droit extraordinaire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par analogie en matière de réexamen (cf. concernant la forme de la demande, JICRA 2003 n° 17 consid. 2c p. 104 ; BEERLI-BONORAND, op. cit., p. 173), les faits nouveaux et preuves nouvelles au sens de l'art. 66 PA ne peuvent entraîner la révision - respectivement le réexamen - que s'ils sont importants, c'est-à-dire de nature à influer - ensuite d'une appréciation juridique correcte - sur l'issue de la contestation ; cela suppose, en d'autres termes, que les faits nouveaux soient décisifs et que les moyens de preuve offerts soient propres à les établir (ATF 127 V 353 consid. 5b, ATF 121 IV 317 consid. 1a et ATF 108 V 170 consid. 1 ; JICRA 2002 n° 13 consid. 5a p. 113s., JICRA 1995 n° 21 consid. 3a p. 207, JICRA 1995 n° 9 consid. 5 p. 80s. et JICRA 1994 n° 27 consid. 5 p. 198ss ; AUGUST MÄCHLER, in Kommentar zum Bundesgesetz über das Verwaltungsverfahren [VwVG], Zurich et Saint-Gall 2008, n. 18 ad art. 66 PA, p. 862 ; HÄFELIN / MÜLLER / UHLMANN, op. cit., n. 1833, p. 392).</w:t>
      </w:r>
    </w:p>
    <w:p>
      <w:r>
        <w:rPr>
          <w:b/>
        </w:rPr>
        <w:t>E. 2.3</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Häfelin / Müller / Uhlmann, op. cit., n. 1833, p. 392 ; Kölz / Häner, op. cit., p. 160 ; René Rhinow / Heinrich Koller / Christina Kiss-Peter, Öffentliches Prozessrecht und Grundzüge des Justizverfassungsrechts des Bundes, Bâle/Francfort-sur-le-Main 1994, p. 12s).</w:t>
      </w:r>
    </w:p>
    <w:p>
      <w:r>
        <w:rPr>
          <w:b/>
        </w:rPr>
        <w:t>E. 2.4</w:t>
      </w:r>
    </w:p>
    <w:p>
      <w:r>
        <w:t>En outre, afin d'éviter une contestation continuelle de prononcés définitifs et exécutoires, il y a lieu, conformément à l'art. 66 al. 3 PA,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le cas échéant par le biais d'un recours dirigé contre cette dernière décision (ATF 127 V 353 consid. 5b et ATF 98 II 250 consid. 3 ; JICRA 2003 n° 17 consid. 2b p. 104, JICRA 2002 n° 13 consid. 5b p. 114, JICRA 1995 n° 9 consid. 5 p. 81s. et JICRA 1994 n° 27 p. 196ss ; Yves Donzallaz, Loi sur le Tribunal fédéral, Commentaire, Berne 2008, n. 4706s., p. 1695s. ; Mächler, op. cit., n. 27ss ad art. 66 PA, p. 866ss).</w:t>
      </w:r>
    </w:p>
    <w:p>
      <w:r>
        <w:rPr>
          <w:b/>
        </w:rPr>
        <w:t>E. 3</w:t>
      </w:r>
    </w:p>
    <w:p>
      <w:r>
        <w:t>En l'espèce, la demande de réexamen de l'intéressé se fonde sur le motif de l'aggravation de son état de santé (infection VIH stade A3 connue depuis le 19 mai 2004 et ayant nécessité la mise en place d'un traitement antirétroviral), depuis l'entrée en force de la décision finale de l'ODM du 7 juin 2002 en tant qu'elle prononce son renvoi au Bénin et l'exécution de cette mesure. Le recourant conclut à l'illicéité (pour violation de l'art. 3 de la Convention du 4 novembre 1950 de sauvegarde des droits de l'homme et des libertés fondamentales [CEDH, RS 0.101]), ainsi qu'à l'inexigibilité de l'exécution de son renvoi au Bénin, au vu de la carence d'infrastructures susceptibles de lui fournir les soins essentiels à sa survie et de l'absence de soutien de la part de sa famille. La question qui se pose est donc de savoir s'il existe, depuis mai 2004, une modification notable de circonstances justifiant le réexamen de la décision d'exécution du renvoi et le prononcé d'une admission provisoire en Suisse.</w:t>
      </w:r>
    </w:p>
    <w:p>
      <w:r>
        <w:rPr>
          <w:b/>
        </w:rPr>
        <w:t>E. 4.1</w:t>
      </w:r>
    </w:p>
    <w:p>
      <w:r>
        <w:t>L'exécution du renvoi est ordonnée si elle est licite, raisonnablement exigible et possible (art. 44 al. 2 LAsi). Si tel n'est pas le cas, l'ODM règle les conditions de résidence de l'étranger conformément aux dispositions de la loi fédérale du 16 décembre 2005 sur les étrangers (LEtr, RS 142.20), entrée en vigueur le 1er janvier 2008 (art. 44 al. 2 LAsi et 83 al. 1 à 4 LEtr).</w:t>
      </w:r>
    </w:p>
    <w:p>
      <w:r>
        <w:rPr>
          <w:b/>
        </w:rPr>
        <w:t>E. 4.2</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CEDH et art. 3 de la Convention du 10 décembre 1984 contre la torture et autres peines ou traitements cruels, inhumains ou dégradants [Conv. torture, RS 0.105]).</w:t>
      </w:r>
    </w:p>
    <w:p>
      <w:r>
        <w:rPr>
          <w:b/>
        </w:rPr>
        <w:t>E. 4.2.1</w:t>
      </w:r>
    </w:p>
    <w:p>
      <w:r>
        <w:t>Si l'interdiction de la torture, des peines et traitements inhumains (ou dégradants) s'applique indépendamment de la reconnaissance de la qualité de réfugié, cela ne signifie pas encore qu'un renvoi ou une extradition serait prohibés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4.2.2</w:t>
      </w:r>
    </w:p>
    <w:p>
      <w:r>
        <w:t>Selon la jurisprudence du Tribunal, qui confirme la jurisprudence de la Commission publiée dans JICRA 2004 n° 6 et 7 (cf. également JICRA 2005 n° 23 et les références citées), et qui s'appuie sur la jurisprudence de la Cour européenne des droits de l'Homme (Cour EDH) (cf. en particulier l'affaire D. c. Royaume-Uni, arrêt du 2 mai 1997, recours n° 30240/96 et N. c. Royaume-Uni, arrêt du 27 mai 2008, recours n° 26565/05), l'exécution du renvoi d'une personne infectée par le virus VIH est licite tant que l'intéressé n'a pas atteint la phase terminale de la maladie du SIDA. La mesure d'exécution du renvoi d'une personne malade du SIDA en phase terminale peut, par contre, dans des circonstances tout à fait extraordinaires, constituer une violation de l'art. 3 CEDH (cf. ATAF 2009/2 consid. 9 p. 18ss).</w:t>
      </w:r>
    </w:p>
    <w:p>
      <w:r>
        <w:rPr>
          <w:b/>
        </w:rPr>
        <w:t>E. 4.2.3</w:t>
      </w:r>
    </w:p>
    <w:p>
      <w:r>
        <w:t>En l'occurrence, le renvoi du recourant, qui se trouve au stade A3, autrement dit à un stade où aucune maladie opportuniste ne s'est déclarée, demeure donc licite, dès lors qu'il ne peut être admis qu'il existerait pour lui personnellement un risque concret et sérieux, en cas de retour dans son pays d'origine, de subir des souffrances physiques et psychiques telles qu'elles devraient être assimilées à un traitement inhumain ou dégradant. En particulier, l'intéressé ne se trouve pas touché dans sa santé au point que cela fasse obstacle à son refoulement sous l'angle de l'illicéité, dès lors que sa maladie ne se trouve pas à un stade avancé et terminal, sans possibilité de soins et de soutien en cas de retour dans son pays, au point que sa mort apparaîtrait comme une perspective proche. Or le fait qu'un requérant risque de connaître, en cas de retour dans son pays d'origine, une dégradation importante de son état de santé, et notamment une réduction significative de son espérance de vie, faute d'un accès convenable à des soins adéquats, n'est pas décisif (cf. arrêt de la Cour européenne des droits de l'homme du 27 mai 2008, N. c. Royaume-Uni, publié sous n° 26565/05 et confirmant sa pratique ; cf. aussi arrêt du Tribunal E-4049/2006 du 1er septembre 2008 consid. 4.3).</w:t>
      </w:r>
    </w:p>
    <w:p>
      <w:r>
        <w:rPr>
          <w:b/>
        </w:rPr>
        <w:t>E. 4.3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4.3.1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JICRA 2005 n° 24 consid. 10.1 p. 215, JICRA 2003 n° 24 consid. 5a p. 157, JICRA 2002 n° 11 consid. 8a p. 99, JICRA 1999 n° 28 consid. 5b p. 170ss et jurisp. cit., et JICRA 1998 n° 22 consid. 7a p. 191).</w:t>
      </w:r>
    </w:p>
    <w:p>
      <w:r>
        <w:rPr>
          <w:b/>
        </w:rPr>
        <w:t>E. 4.3.2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ibidem).</w:t>
      </w:r>
    </w:p>
    <w:p>
      <w:r>
        <w:rPr>
          <w:b/>
        </w:rPr>
        <w:t>E. 4.3.3</w:t>
      </w:r>
    </w:p>
    <w:p>
      <w:r>
        <w:t>Dans le cas d'une infection par le VIH, l'exécution du renvoi est en principe raisonnablement exigible, tant que l'infection n'a pas atteint le stade C. L'examen de l'exigibilité de l'exécution du renvoi ne dépend toutefois pas seulement du stade de l'atteinte (A à C), mais doit se faire également dans le cadre d'une pondération de l'ensemble des éléments d'exigibilité et d'inexigibilité, de la situation concrète de la personne concernée dans son pays d'origine ou de provenance, en particulier de la sécurité intérieure, de la gravité de son état de santé, de ses possibilités d'accès aux infrastructures et soins médicaux et de son environnement personnel (parenté, qualifications professionnelles, situation financière). Ainsi, selon les circonstances, l'exécution du renvoi d'un requérant d'asile atteint au stade B2 ou B3 de la maladie peut être exclue, et à l'inverse, elle peut s'imposer dans un cas où le stade C est atteint (cf. ATAF 2009/2 consid. 9.3.4 p. 22 ; JICRA 2004 n° 7 consid. 5d/bb p. 50ss). Selon la classification américaine du Center for Disease Control and Prevention, l'infection VIH se distingue par plusieurs phases : au stade A, le patient ne présente aucun symptôme ; au stade B, les premiers symptômes de maladies liées à une atteinte du système immunitaire apparaissent ; au stade C, la maladie du SIDA est déclarée. A chacun des stades précités, on distingue des degrés de 1 à 3 selon le nombre d'anticorps encore présents dans l'organisme (la valeur CD4 fournit une indication sur le nombre de lymphocytes T encore actifs dans l'organisme). Le degré 1 signifie que l'on dénombre plus de 500 anticorps par microlitre de sang, le degré 2 que l'on en dénombre entre 200 et 499 et le degré 3 moins de 200 (cf. ibidem).</w:t>
      </w:r>
    </w:p>
    <w:p>
      <w:r>
        <w:rPr>
          <w:b/>
        </w:rPr>
        <w:t>E. 4.3.4</w:t>
      </w:r>
    </w:p>
    <w:p>
      <w:r>
        <w:t>S'agissant de la situation médico-sanitaire des personnes séropositives et des malades du SIDA au Bénin, la situation se présente comme suit : Avec une proportion de 1,2 à 2 % de sa population atteinte du virus VIH, le Bénin a développé, depuis 2002 et grâce au co-financement du Global Fund et d'autres partenaires internationaux, un programme national, le Comité National de Lutte contre le VIH/SIDA/IST, CNLS. Les infrastructures médicales pour les personnes atteintes du virus VIH se sont améliorées ces dernières années et le nombre de personnes sous tri-thérapie a notablement augmenté, passant de 4'533 personnes à fin 2005 à 9'624 en 2006, puis à 12'535 le 30 septembre 2007. En outre, et même s'il n'existe pas d'assurance-maladie obligatoire au Bénin, la gratuité du traitement contre le VIH y est assurée depuis 2004, dans le cadre du « paquet minimum gratuit » comprenant la thérapie antirétrovirale et un suivi tant clinique que biologique tous les quatre mois. Dans les régions rurales du pays, on dénote encore des ruptures fréquentes de l'approvisionnement des médicaments, ce qui se produit rarement à B._______, où les traitements sont disponibles depuis septembre 2002. La ville compte au moins deux institutions proposant les traitements : (...) [un établissement hospitalier] tout d'abord, qui, grâce au soutien d'associations et de plusieurs fondations, assure le dépistage, le traitement des infections opportunistes, la distribution d'antirétroviraux, et propose également une éducation thérapeutique, un soutien nutritionnel et des activités génératrices de revenus ; (...) [un établissement hospitalier] ensuite.</w:t>
      </w:r>
    </w:p>
    <w:p>
      <w:r>
        <w:rPr>
          <w:b/>
        </w:rPr>
        <w:t>E. 4.3.5</w:t>
      </w:r>
    </w:p>
    <w:p>
      <w:r>
        <w:t>En l'espèce, le recourant est jeune, a de la famille à B._______, dispose d'une expérience de dix ans dans la coiffure (cf. pv. aud. du 1er février 2002 p. 2 ; écriture du 28 mai 2009 p. 2), ainsi que d'une capacité de travail pleine et entière (cf. attestation médicale du 26 mai 2009). Il n'a apporté aucun élément concret et convaincant permettant d'admettre qu'il ne pourrait pas bénéficier de l'un ou l'autre des programmes de soins précités, ni qu'il serait empêché de suivre à son retour au Bénin un traitement antirétroviral pour un motif d'ordre personnel ou autre, ni qu'il n'obtiendrait pas le soutien d'une partie au moins de sa famille. Il pourra aussi y réactiver son réseau social. Issu d'un cadre urbain, il n'a en tout état de cause pas lieu de craindre une stigmatisation de la part de la population menant à une exclusion sociale totale. En outre, l'intéressé a indiqué n'avoir jamais exercé d'activités politiques dans son pays d'origine, ni y avoir eu des problèmes avec la police ou le gouvernement du Bénin (cf. pv. aud. du 1er février 2002 p. 5). Afin d'éviter toute interruption de son traitement durant la période transitoire qui s'écoulera jusqu'à sa prise en charge sur place, l'intéressé peut adresser à l'ODM une demande d'aide médicale au retour, en application des art. 93 al. 1 let. d LAsi et 75 de l'ordonnance 2 du 11 août 1999 sur l'asile relative au financement (OA 2, RS 142.312) (cf. aussi ATAF 2009/2 précité consid. 9.3.4 p. 23).</w:t>
      </w:r>
    </w:p>
    <w:p>
      <w:r>
        <w:rPr>
          <w:b/>
        </w:rPr>
        <w:t>E. 4.3.6</w:t>
      </w:r>
    </w:p>
    <w:p>
      <w:r>
        <w:t>En outre et eu égard à l'acte de reconnaissance de paternité effectuée le 2 juillet 2009 concernant l'enfant M._______, né le 24 août 2008, il sied d'examiner d'office si le recourant peut se réclamer du droit au respect de l'unité de la famille en matière de renvoi et d'exécution de cette mesure (cf. art. 44 al. 1 LAsi, dont la portée est plus large que l'art. 8 CEDH consacrant le droit au respect de la vie privée et familiale). Cette disposition légale, qui garantit le respect de l'unité de la famille en matière d'exécution du renvoi, implique que l'admission provisoire d'un étranger conduise à l'extension de cette mesure aux autres membres de sa famille, notion comprenant en particulier les liens entre un enfant et le parent ne possédant ni l'autorité parentale ni la garde de celui-là, pour autant que les relations familiales en la cause soient intactes et sérieusement vécues et qu'il n'y ait pas de motifs de nature à justifier une exception à cette règle (cf. dans ce sens JICRA 2004 n° 12 p. 76ss et JICRA 1995 n° 24 p. 224ss). Cette disposition n'est toutefois pas applicable au cas d'espèce, dès lors que la mère de l'enfant, P._______, née le (...), ne dispose pas d'un droit de séjourner sur le territoire suisse, ni d'une admission provisoire. Elle a, en effet, fait l'objet d'une décision de non-entrée en matière au sens de l'art. 34 al. 1 LAsi, laquelle est désormais entrée en force. Une procédure tendant au réexamen de sa situation, introduite le (...) 2008, s'est achevée par une décision du Tribunal de non-entrée en matière sur son recours du (...) 2009 (arrêt d'irrecevabilité pour non-paiement de l'avance de frais), en date du (...) 2009. La mère s'étant déclarée originaire de B._______ au Bénin, un regroupement effectif du couple et de l'enfant devrait pouvoir se poursuivre également dans leur pays d'origine.</w:t>
      </w:r>
    </w:p>
    <w:p>
      <w:r>
        <w:rPr>
          <w:b/>
        </w:rPr>
        <w:t>E. 5</w:t>
      </w:r>
    </w:p>
    <w:p>
      <w:r>
        <w:t>Ainsi, le Tribunal retient que le recourant n'a pas prouvé l'existence d'une modification notable des circonstances, justifiant le réexamen de la décision d'exécution de son renvoi.</w:t>
      </w:r>
    </w:p>
    <w:p>
      <w:r>
        <w:rPr>
          <w:b/>
        </w:rPr>
        <w:t>E. 6</w:t>
      </w:r>
    </w:p>
    <w:p>
      <w:r>
        <w:t>Par conséquent, il n'y a pas lieu d'annuler la décision de l'ODM du 27 avril 2005. La décision attaquée doit ainsi être confirmée et le recours rejeté.</w:t>
      </w:r>
    </w:p>
    <w:p>
      <w:r>
        <w:rPr>
          <w:b/>
        </w:rPr>
        <w:t>E. 7</w:t>
      </w:r>
    </w:p>
    <w:p>
      <w:r>
        <w:t>Vu l'issue de la procédure, il y aurait lieu de mettre les frais à la charge du recourant (cf. art. 63 al. 1 PA et art. 2 et 3 let. b du règlement du 21 février 2008 concernant les frais, dépens et indemnités fixés par le Tribunal administratif fédéral [FITAF, RS 173.320.2]). Toutefois, il convient d'admettre la demande d'assistance judiciaire partielle - compte tenu du manque vraisemblable de ressources de l'intéressé et du fait que les conclusions du recours n'étaient, au moment de leur dépôt, pas manifestement vouées à l'échec (art. 65 al. 1 PA) -, et, partant, de renoncer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