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D-4144/2011 vom 27. Juli 2011</w:t>
      </w:r>
    </w:p>
    <w:p>
      <w:r>
        <w:t>Bundesverwaltungsgericht, 2011-07-27, DE</w:t>
      </w:r>
    </w:p>
    <w:p>
      <w:r>
        <w:rPr>
          <w:b/>
        </w:rPr>
        <w:t xml:space="preserve">Quelle: </w:t>
      </w:r>
      <w:r>
        <w:t>https://mcp.opencaselaw.ch/entscheid/bvger_D-4144_2011</w:t>
      </w:r>
    </w:p>
    <w:p>
      <w:r>
        <w:t>FR: TAF D-4144/2011 du 27 juillet 2011</w:t>
      </w:r>
    </w:p>
    <w:p>
      <w:r>
        <w:t>IT: TAF D-4144/2011 del 27 luglio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In Bezug auf die in englischer Sprache abgefasste Beschwerde wird angesichts der kurzen gesetzlichen Behandlungsfrist (Art. 109 Abs. 2 AsylG) sowie aus prozessökonomischen Gründen und zufolge ihrer Verständlichkeit auf die Ansetzung einer Frist zur Beschwerdeverbesserung verzichtet. Die Beschwerde ist ansonsten frist- und formgerecht eingereicht (Art. 108 Abs. 2 AsylG, Art. 105 AsylG i.V.m. Art. 37 VGG und Art. 52 VwVG). Zudem ist der Beschwerdeführer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1.4</w:t>
      </w:r>
    </w:p>
    <w:p>
      <w:r>
        <w:t>Vorliegend sind die Voraussetzungen für die Ausfällung eines Beschwerdeentscheides während noch laufender Beschwerdefrist gegeben (vgl. Entscheidungen und Mitteilungen der Schweizerischen Asylrekurskommission [EMARK] 1997 Nr. 13 E. 1 S. 95 ff.),</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EMARK 2004 Nr. 34 E. 2.1 S. 240 f. sowie das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 Da die Vorinstanz die Frage der Wegweisung und des Vollzugs materiell prüft, kommt dem Bundesverwaltungsgericht diesbezüglich grundsätzlich volle Kognition zu, wobei sich diese Fragen - namentlich diejenigen hinsichtlich des Bestehens von Vollzugshindernissen (Durchführbarkeit der Überstellung an den zuständigen Staat) - in den Dublin-Verfahren bereits vor Erlass des Nichteintretensentscheides stellen (vgl. BVGE 2010/45 E. 8.2.3 und 10.2).</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der Abgleich der Fingerabdrücke mit der Zentraleinheit EURODAC weise nach, dass der Beschwerdeführer am 20. September 2004 in Österreich ein Asylgesuch eingereicht habe. Die österreichischen Behörden hätten das Ersuchen des BFM um Übernahme des Beschwerdeführers gestützt auf Art. 16 Abs. 1 Bst. c Dublin-II-VO gutgeheissen. Somit liege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die Zuständigkeit bei Österreich, das Asyl- und Wegweisungsverfahren durchzuführen. Anlässlich der Gewährung des rechtlichen Gehörs habe der Beschwerdeführer geltend gemacht, dass er Österreich nicht für zuständig erachte, da ihm das Asyl verweigert und er inhaftiert worden sei. Zudem fühle er sich deshalb von Österreich unfair behandelt. Diesen Einwänden sei entgegenzuhalten, dass Österreich für die Durchführung des Asyl- und Wegweisungsverfahrens zuständig sei, weshalb es den zuständigen Behörden obliege, den Aufenthaltsstatus des Beschwerdeführers zu regeln. Österreich habe das Übernahmeersuchen der Schweiz basierend auf Art. 16 Abs. 1 Bst. c Dublin-II-VO gutgeheissen, weshalb davon auszugehen sei, dass das Asylgesuch noch hängig sei. Es lägen keine Hinweise vor, dass Österreich seinen völkerrechtlichen Verpflichtungen nicht nachkommen und das Asylverfahren nicht korrekt durchführen würde. Bezüglich der beklagten Inhaftierung sei festzuhalten, dass Österreich ein Rechtsstaat sei und Personen nicht grundlos, ohne ein ordentliches Verfahren durchzuführen, inhaftiere. Es stehe Österreich frei, Verstösse gegen die nationale Rechtsordnung mit einer Gefängnisstrafe zu ahnden. Im konkreten Fall lägen keine Hinweise vor, dass sich die österreichischen Behörden nicht an die gesetzlichen Bestimmungen hielten. Die vom Beschwerdeführer geltend gemachten Einwände vermöchten somit die Zuständigkeit Österreichs zur Durchführung des Asyl- und Wegweisungsverfahrens nicht zu widerlegen. Die Überstellung nach Österreich habe - vorbehältlich einer allfälligen Unterbrechung oder Verlängerung (Art. 19 f. Dublin-II-VO) - bis spätestens am 7. Januar 2012 zu erfolgen. Den Vollzug der Wegweisung erachtete die Vorinstanz als zulässig, zumutbar und möglich.</w:t>
      </w:r>
    </w:p>
    <w:p>
      <w:r>
        <w:rPr>
          <w:b/>
        </w:rPr>
        <w:t>E. 5.3</w:t>
      </w:r>
    </w:p>
    <w:p>
      <w:r>
        <w:t>Aus den Akten ergibt sich, dass der Beschwerdeführer im Jahre 2004 nach Österreich einreiste, wo er am 20. September 2004 daktyloskopisch registriert wurde, am selben Tag ein Asylgesuch stellte und sich bis zu seiner ersten Einreise in die Schweiz am 4. September 2010 aufhielt (Akten BFM B 6/11, S. 6 f.). Wie nach seiner ersten Überstellung an die österreichischen Behörden am 10. Januar 2011 verweilte der Beschwerdeführer auch nach seiner zweiten Rückführung nach Österreich am 6. Mai 2011 die ganze Zeit in diesem Land, bevor er am 29. Mai 2011 erneut in die Schweiz einreiste. Da das BFM die österreichischen Behörden am 1. Juli 2011 um Wiederaufnahme des Beschwerdeführers gemäss Art. 16 Abs. 1 Bst. c Dublin-II-VO ersuchte, und diese am 7. Juli 2011 gestützt auf diese Bestimmung einer Übernahme des Beschwerdeführers zustimmten, kann der Beschwerdeführer ohne Weiteres in den Dublin-Staat Österreich ausreisen, der staatsvertraglich zuständig ist. An dieser Einschätzung ändern auch die vom Beschwerdeführer geäusserten Bedenken bezüglich der Lebensbedingungen in Österreich (keine Arbeit, keine Unterkunft, keine Dokumente, keine Unterstützung) nichts, ist doch Österreich unter anderem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Es bestehen vorliegend keine glaubhaften Hinweise darauf, Österreich würde sich im Falle des Beschwerdeführers nicht an die daraus resultierenden massgebenden völkerrechtlichen Bestimmungen, insbesondere an das Rückschiebungsverbot oder die einschlägigen Normen der EMRK, halten. Nach dem Gesagten ist auch nicht davon auszugehen, dass der Beschwerdeführer bei einer Rückkehr nach Österreich von den österreichischen Behörden unfair behandelt oder grundlos und ohne rechtsstaatlich korrektes Verfahren inhaftiert wird, weshalb seine Vorbringen, wonach er in Österreich nicht fair behandelt werde und dort ins Gefängnis gesteckt worden sei, die Rechtmässigkeit der Überstellung in dieses Land nicht zu erschüttern vermögen. Angesichts der gesamten Umstände erweist sich der Vollzug der Wegweisung nach Österreich in Berücksichtigung der entscheidrelevanten Aspekte - insbesondere unter dem Blickwinkel von Art. 3 EMRK - als zulässig und zumutbar, weshalb vorliegend kein Anlass zum Selbsteintritt besteht. Alleine der in der Beschwerde geäusserte Wunsch des Beschwerdeführers nach einem "Bleiberecht" in der Schweiz ist kein Grund, eine Rückführung nach Österreich auszuschliessen.</w:t>
      </w:r>
    </w:p>
    <w:p>
      <w:r>
        <w:rPr>
          <w:b/>
        </w:rPr>
        <w:t>E. 5.4</w:t>
      </w:r>
    </w:p>
    <w:p>
      <w:r>
        <w:t>Das BFM ist in Anwendung von Art. 34 Abs. 2 Bst. d AsylG demnach zu Recht auf das Asylgesuch des Beschwerdeführers nicht eingetreten.</w:t>
      </w:r>
    </w:p>
    <w:p>
      <w:r>
        <w:rPr>
          <w:b/>
        </w:rPr>
        <w:t>E. 6.1</w:t>
      </w:r>
    </w:p>
    <w:p>
      <w:r>
        <w:t>Das Nichteintreten auf ein Asylgesuch hat in der Regel die Weg­weisung aus der Schweiz zur Folge (Art. 44 Abs. 1 AsylG). Vorliegend ist keine Ausnahme von diesem Grundsatz ersichtlich (vgl. BVGE 2009/50 E. 9). In Verfahren nach Art. 34 Abs. 2 Bst. d AsylG ist die Frage nach der Zulässigkeit und Möglichkeit des Wegweisungsvollzugs regelmässig bereits Voraussetzung (und nicht erst Regelfolge) des Nichteintretensent­scheids (vgl. BVGE 2010/45 E. 10.2).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(vgl. Art. 29a der Asylverordnung 1 vom 11. August 1999 über Verfahrensfragen [AsylV 1, SR 142.311]) oder gegebenenfalls - sofern sich Familienmitglieder in verschiedenen Dublin-Staaten befinden und allenfalls zusammengeführt werden sollten - bei der Ausübung der sogenannten Humanitären Klausel (Art. 15 Dublin-II-VO).</w:t>
      </w:r>
    </w:p>
    <w:p>
      <w:r>
        <w:rPr>
          <w:b/>
        </w:rPr>
        <w:t>E. 6.3</w:t>
      </w:r>
    </w:p>
    <w:p>
      <w:r>
        <w:t>Nach dem Gesagten sind die vom BFM verfügte Wegweisung und deren Vollzug nach Österreich zu bestätigen.</w:t>
      </w:r>
    </w:p>
    <w:p>
      <w:r>
        <w:rPr>
          <w:b/>
        </w:rPr>
        <w:t>E. 7</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w:t>
      </w:r>
    </w:p>
    <w:p>
      <w:r>
        <w:rPr>
          <w:b/>
        </w:rPr>
        <w:t>E. 8</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