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D-4143/2011 vom 10. Dezember 2012</w:t>
      </w:r>
    </w:p>
    <w:p>
      <w:r>
        <w:t>Bundesverwaltungsgericht, 2012-12-10, DE</w:t>
      </w:r>
    </w:p>
    <w:p>
      <w:r>
        <w:rPr>
          <w:b/>
        </w:rPr>
        <w:t xml:space="preserve">Quelle: </w:t>
      </w:r>
      <w:r>
        <w:t>https://mcp.opencaselaw.ch/entscheid/bvger_D-4143_2011</w:t>
      </w:r>
    </w:p>
    <w:p>
      <w:r>
        <w:t>FR: TAF D-4143/2011 du 10 décembre 2012</w:t>
      </w:r>
    </w:p>
    <w:p>
      <w:r>
        <w:t>IT: TAF D-4143/2011 del 10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Anhörung vom 22. Juli 2009 fand nicht im Beisein einer Hilfswerkvertre­tung statt. Im Sinne von Art. 30 Abs. 3 AsylG ist die Verwert­barkeit des Protokolls aber nicht beeinträchtigt (vgl. A 16/2).</w:t>
      </w:r>
    </w:p>
    <w:p>
      <w:r>
        <w:rPr>
          <w:b/>
        </w:rPr>
        <w:t>E. 4</w:t>
      </w:r>
    </w:p>
    <w:p>
      <w:r>
        <w:t>Der Antrag, über eine eventu­ell be­reits erfolgte Datenweitergabe sei in ei­ner separaten Verfügung zu informieren, erweist sich insofern als gegen­standslos, als den vorhandenen Akten zufolge keine solche Datenweiter­gabe stattgefunden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vgl.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Es mag zutreffen, dass der Ehemann der Beschwerdeführerin Ende Mai 2009 verstorben ist und sich in der Folge im Rahmen der beteiligten Fa­milien gewisse Auseinandersetzungen ereigneten, von denen auch die Beschwerdeführerin als Witwe betroffen war. Dabei ist schon an dieser Stelle darauf hinzuweisen, dass solche Witwenrituale namentlich in dörfli­chen Kreisen in Kamerun stattfinden; gebildete und finanziell unabhän­gige Frauen sind davon aber offenbar weniger betroffen beziehungsweise können sich in Kenntnis ihrer Rechte dagegen zur Wehr setzen (vgl. dazu S. 2 des Beweismittels vom 30. August 2011).</w:t>
      </w:r>
    </w:p>
    <w:p>
      <w:r>
        <w:rPr>
          <w:b/>
        </w:rPr>
        <w:t>E. 6.2</w:t>
      </w:r>
    </w:p>
    <w:p>
      <w:r>
        <w:t>Vor diesem Hintergrund ist nicht ausgeschlossen, dass die Beschwer­deführerin auch als Städterin Nötigungen seitens der aus einem Dorf stam­menden Familie des Verstorbenen ausgesetzt war. Das BFM weist aber zu Recht darauf hin, dass gewisse Verfolgungshandlungen in der ge­schilderten Form nicht glaubhaft wirken. Namentlich ihre angebliche Ohn­macht aufgrund der angeblich drohenden Zwangsverheiratung verbunden mit der späteren Vergewaltigung wirkt vage und erweckt nicht den Ein­druck eines wahrheitsgemässen Vorkommnisses (A 14/17 Antworten 122 ff.). Auch ihre Befürchtungen für den Fall der Rückkehr äusserte sie eher ste­reotyp (A 20/24 Antworten 194 ff.). Das BFM hebt sodann her­vor, dass sie die Anzahl der beteiligten Witwen im Rahmen des sie demütigenden Ri­tuals nicht übereinstimmend darlegte. Auch wenn eine solche Abwei­chung per se nicht zwingend auf Unglaubhaftigkeit schliessen lässt, ver­stärkt sich so das Bild einer bloss angeblichen Behelligung. Ins Gewicht fällt aber auch die Tatsache, dass es ihr offenbar problemlos möglich war, dem Gewahrsam der Familie des Ehemannes im Dorf zu entkommen (A 20/24 Antworten 131 ff.). In der Beschwerde fehlen stringente Argumente, welche eine andere Sichtweise rechtfertigen würden. Dass gewisse psychi­sche Probleme ihre Aussagemöglichkeiten beeinträchtigt hätten, lässt sich auch dem eingereichten Arztbericht nicht entnehmen. In Anbet­racht weiterer, vom BFM erwähnten Unstimmigkeiten ist mithin nicht glaub­haft, dass sich die Auseinandersetzungen nach dem geltend gemach­ten Tod des Ehemannes in der geschilderten Form zuspitzten. Auch für die Behauptung, sie werde für den Tod des Gatten verantwortlich gemacht, finden sich keine überzeugenden Anhaltspunkte. Das (als blosse Kopie) eingereichte Gerichtsdokument betrifft gemäss den dorti­gen Angaben offenbar ihren Vater, welcher den Schwager beziehungs­weise Schwiegersohn anzeigte, und vermag eine ihr drohende Gefahr nicht hinreichend zu belegen.</w:t>
      </w:r>
    </w:p>
    <w:p>
      <w:r>
        <w:rPr>
          <w:b/>
        </w:rPr>
        <w:t>E. 6.3</w:t>
      </w:r>
    </w:p>
    <w:p>
      <w:r>
        <w:t>Obwohl es der Beschwerdeführerin nicht gelingt, zentrale Vorbringen glaubhaft zu machen, ist ein finanz- und eigentumsrechtlicher Konflikt nach dem Tod des Mannes nicht auszuschliessen (zur allgemeinen - auch rechtlichen - Situation in Kamerun vgl. den Country Report on Hu­man Rights Practices 2011 des US Depart­ment of State, Mai 2012). Aus Länderberichten geht hervor, dass Frauen in rechtlicher Hinsicht Benachteili­gungen ausgesetzt sein können. Hingegen erscheint in keiner Weise als ausgeschlossen, dass sich die Beschwerdeführerin gegen allfäl­lige, auf ihre Finanzen abzielende Massnahmen der Angehörigen ih­res Gatten auf dem Rechtsweg zur Wehr setzen könnte. So ist vor Ort auch eine NGO tätig, die sich für Witwenrechte einsetzt (...). Selbst bei ange­nommener Wahrheit auch physischer Verfolgung durch Drittperso­nen wäre mithin nicht davon auszugehen, dass sie keinen Zugang zu ei­ner gewissen Schutzinfrastruktur hätte. Aus den Akten geht zudem her­vor, dass sie erwog, den Rechts­weg zu beschreiten, entsprechende Hand­lungen aber trotz vorhandener Ansprüche unterliess (A 14/17 Ant­worten 92 ff. und 135; A 20/24 Antworten 57 ff. und 172 ff.). Ergänzend ist anzufügen, dass die Afrikanische Charta für Demokratie, Wahlen und Regie­rungsführung (African Charter on Democracy, Elections and Gover­nance) im Februar 2012 in Kraft trat, nachdem Kamerun als fünfzehntes Land ratifiziert hatte. Damit existiert in Afrika zum ersten Mal ein verbindli­ches Rechtsinstrument zur Einhaltung demokratischer Prinzipien, der Men­schenrechte, der Rechtsstaatlichkeit, Transparenz im Management öf­fentlicher Angelegenheiten, Geschlechtergerechtigkeit, Gewaltentren­nung und Antikorruption.</w:t>
      </w:r>
    </w:p>
    <w:p>
      <w:r>
        <w:rPr>
          <w:b/>
        </w:rPr>
        <w:t>E. 6.4</w:t>
      </w:r>
    </w:p>
    <w:p>
      <w:r>
        <w:t>Zusammenfassend ergibt sich, dass die Beschwerdeführerin nicht glaub­haft machen konnte, in der geschilderten Form unter Druck gesetzt worden zu sein. Allfällige (eigentumsrechtliche) Konflikte wegen des gel­tend gemachten Tods des Ehemannes erscheinen für sie als gebildete Städterin als auf dem Rechtsweg regelbar. Ihr implizites Vorbringen, we­gen der Zugehörigkeit zur sozialen Gruppe der kamerunischen Witwen eine asylrelevante Verfolgung erlitten zu haben beziehungsweise befürch­ten zu müssen, erweist sich mithin als unzutreffend. Bei dieser Sachlage er­übrigt es sich mangels Relevanz, auf weitere Beschwerdevorbringen und die Beweismittel näher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Kamerun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geht davon aus, dass die all­ge­mei­ne Lage in Kamerun nicht durch Krieg, Bürgerkrieg oder durch eine Si­tua­tion landesweiter allgemeiner Gewalt gekennzeichnet ist, aufgrund derer die Zivilbe­völ­kerung als konkret gefährdet bezeichnet werden müsste. Der Voll­zug der Wegweisung ist unter diesen Umständen nicht generell als un­zu­mut­bar zu bezeichnen.</w:t>
      </w:r>
    </w:p>
    <w:p>
      <w:r>
        <w:rPr>
          <w:b/>
        </w:rPr>
        <w:t>E. 8.4.2</w:t>
      </w:r>
    </w:p>
    <w:p>
      <w:r>
        <w:t>Die Beschwerdeführerin stammt aus B._______, ist gebildet und verfügt über Arbeitserfahrung in verschiedenen Bereichen. Gemäss Aktenlage le­ben enge Angehörige vor Ort; zudem existieren weitere soziale Anknüp­fungspunkte in Kamerun. Ihre finanzielle Situation nach dem geltend ge­machten Tod des offenbar eher vermögenden Ehemannes ist zwar mit Un­wägbarkeiten behaftet, aber keinesfalls prekär, zumal in einer ersten Phase auch Unterstützungen durch Verwandte in Frage kommen dürften. Nach dem Ge­sagten ist im Sinne der BFM-Erwägungen nicht zu erwar­ten, dass sie in eine existenzgefährdende Lage gerät, auch wenn ge­wisse wirtschaftliche Schwierigkeiten nicht ausgeschlos­sen werden kön­nen.</w:t>
      </w:r>
    </w:p>
    <w:p>
      <w:r>
        <w:rPr>
          <w:b/>
        </w:rPr>
        <w:t>E. 8.4.3</w:t>
      </w:r>
    </w:p>
    <w:p>
      <w:r>
        <w:t>Allerdings leidet die Beschwerdeführerin gemäss Aktenlage unter psy­chischen Beschwerden (Anpassungsstörungen, Ängsten und einer de­pressiven Reaktion) welche nach der Einreise in die Schweiz aufgetre­ten sind (vgl. A 14/17 Antwort 142). Diese Leiden sind aber - wie das BFM in der Vernehmlassung zu Recht festhält - nicht als gravierend einzu­stu­fen. Überdies kann die Beschwerdeführerin bei der Vorinstanz un­ter Vor­lage entsprechender Atteste medizinische Rückkehrhilfe beantra­gen (Art. 93 Abs. 1 Bst. d AsylG i.V.m. Art. 75 der Asylverordnung 2 vom 11. August 1999 über Finanzierungsfragen [AsylV 2, SR 142.312]), womit sie in einer ersten Phase nach ihrer Rückkehr hinsichtlich der Organi­sation der medizini­schen Behandlung - falls überhaupt noch erforder­lich - nicht vor unüberwindbare Schwierigkeiten ge­stellt ist. Insge­samt ist nach dem Gesagten nicht davon auszugehen, die ge­sundheitli­chen Probleme der Beschwerdeführerin würden im Falle des Vollzugs der Wegweisung mangels im Bedarfsfall ausreichender medizini­scher Behand­lungsmöglich­keiten eine drastische, andauernde und lebens­bedro­hende Verschlech­terung ihres Gesundheitszustandes nach sich zie­hen. Ein Beizug weiterer Medizinalakten erscheint somit nicht als erforder­lich (vgl. S. 2 der Beschwerdeeingabe).</w:t>
      </w:r>
    </w:p>
    <w:p>
      <w:r>
        <w:rPr>
          <w:b/>
        </w:rPr>
        <w:t>E. 8.4.4</w:t>
      </w:r>
    </w:p>
    <w:p>
      <w:r>
        <w:t>Nach dem Gesagten erweist sich der Vollzug der Wegweisung für die Beschwerdeführerin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VwVG). In Anbetracht der am 3. Au­gust 2011 erfolgten Gutheissung des Gesuchs im Sinne von Art. 65 Abs. 1 VwVG erfolgt indes keine Kostenauflage, zumal sich ihre finanziel­len Verhältnisse offenbar nicht verändert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