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D-4134/2023 vom 4. September 2023</w:t>
      </w:r>
    </w:p>
    <w:p>
      <w:r>
        <w:t>Bundesverwaltungsgericht, 2023-09-04, FR</w:t>
      </w:r>
    </w:p>
    <w:p>
      <w:r>
        <w:rPr>
          <w:b/>
        </w:rPr>
        <w:t xml:space="preserve">Quelle: </w:t>
      </w:r>
      <w:r>
        <w:t>https://mcp.opencaselaw.ch/entscheid/bvger_D-4134_2023</w:t>
      </w:r>
    </w:p>
    <w:p>
      <w:r>
        <w:t>FR: TAF D-4134/2023 du 4 septembre 2023</w:t>
      </w:r>
    </w:p>
    <w:p>
      <w:r>
        <w:t>IT: TAF D-4134/2023 del 4 settembre 2023</w:t>
      </w:r>
    </w:p>
    <w:p>
      <w:pPr>
        <w:pStyle w:val="Heading2"/>
      </w:pPr>
      <w:r>
        <w:t>Regeste</w:t>
      </w:r>
    </w:p>
    <w:p>
      <w:r>
        <w:t>Asile (sans excécution du renvoi) (procédure accélérée)</w:t>
      </w:r>
    </w:p>
    <w:p>
      <w:pPr>
        <w:pStyle w:val="Heading2"/>
      </w:pPr>
      <w:r>
        <w:t>Erwägungen</w:t>
      </w:r>
    </w:p>
    <w:p>
      <w:r>
        <w:rPr>
          <w:b/>
        </w:rPr>
        <w:t>E. 3</w:t>
      </w:r>
    </w:p>
    <w:p>
      <w:r>
        <w:t>novembre 2022, p. 4 et réf. cit.), que la jurisprudence a notamment déduit de cette garantie procédurale, ancrée à l’art. 29 al. 2 Cst. et concrétisée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y a violation du droit d’être entendu si l’autorité ne satisfait pas à son devoir minimum d’examiner et traiter les problèmes pertinents (cf. ATF 122 IV 8 consid. 2c ; 118 Ia 35 consid. 2e), qu’en l’occurrence, les critiques du recourant selon lesquelles le SEM n’aurait pas établi complètement l’état de fait pertinent et aurait manqué à son obligation de motiver (cf. acte de recours, 2e par, p. 8), en tant qu’elles s’avèrent de nature toute générale et qu’elles ne mentionnent aucun manquement formel concret de l’autorité précédente, constituent en réalité des griefs appellatoires, dépourvus de fondement, qu’au vu du dossier de la cause et en particulier du contenu des procès-verbaux d’audition des 25 mai 2023 et 15 juin 2023, rien n’indique que l’autorité intimée aurait omis d’instruire des faits essentiels de l’affaire, le recourant ne désignant d’ailleurs pas à teneur de son écriture quel élément précis et déterminant de son récit aurait encore dû faire l’objet d’éclaircissements, ni quelle mesure concrète il eût fallu mettre en œuvre à cette fin, que pour le surplus, les motifs soulevés par le recourant au titre d’une prétendue violation de son droit d’être entendu (art. 29 al. 2 Cst.) et de la</w:t>
      </w:r>
    </w:p>
    <w:p>
      <w:r>
        <w:t>D-4134/2023 Page 7 maxime inquisitoire (art. 12 PA) constituent en réalité pour l’essentiel une contestation de la motivation matérielle de la décision querellée (cf. ibidem, p. 8 à 12), sur laquelle il n’y a pas lieu de revenir à ce stade de l’examen, qu’au vu de ce qui précède, les griefs de l’intéressé, en tant qu’ils constituent bien une critique formelle de l’acte entrepris, s’avèrent mal fondés et doivent être rejetés,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LAsi),</w:t>
      </w:r>
    </w:p>
    <w:p>
      <w:r>
        <w:t>D-4134/2023 Page 8 qu’en l’espèce, l’intéressé n’a pas démontré que les exigences légales pour la reconnaissance de la qualité de réfugié et l’octroi de l’asile étaient remplies, qu’il ne ressort pas de ses déclarations qu’il aurait été personnellement victime de préjudices d’une intensité déterminante en matière d’asile avant son départ du pays, que sa crainte alléguée de se retrouver dans le collimateur de (…), l’ex-fiancé de sa sœur (…), lequel serait responsable du décès de son père, prétendument survenu dans le cadre d’un attentat à la bombe (cf. procès-verbal de l’audition du 25 mai 2023, point 1.16.04 2e question, en lien avec points 4.04 et 7.01 à 7.03, p. 4 ss ; procès-verbal de l’audition du 15 juin 2023, Q. 9 ss, p. 3 ss), indépendamment de tout examen sous l’angle de la vraisemblance (art. 7 LAsi), ne réalise manifestement pas l’hypothèse d’un risque sérieux de préjudices concrets pour l’un au moins des motifs exhaustivement énumérés à l’art. 3 LAsi, à savoir la race, la religion, la nationalité, l’appartenance à un groupe social déterminé ou les opinions politiques, que l’attentat en question s’apparente en effet à un acte de vengeance personnelle de type crapuleux, commis par un tiers privé, ne réalisant aucun des cas de figure envisagés par la disposition légale précitée, si bien qu’il n’est pas déterminant à l’aune du droit d’asile, que l’intéressé ne peut donc valablement en déduire un risque de persécution réfléchi pertinent sous l’angle de l’art. 3 LAsi, que par surabondance de motifs, il n’a pas été en mesure de se prévaloir d’indices concrets, aptes à établir qu’il encourrait personnellement un grave danger imminent dans l’hypothèse d’un retour au pays, que, bien qu’il ait affirmé qu’il s’était personnellement opposé au mariage de sa sœur avec le dénommé (…), il ne l’aurait fait que dans le cadre familial, sans jamais s’adresser directement au susnommé ou à ses proches (cf. procès-verbal de l’audition du 15 juin 2023, Q. 28 à 33, p. 5), que dans ces circonstances, il s’avère à tout le moins douteux que l’homme en question entendrait s’en prendre au recourant personnellement, qu’une crainte de préjudice future doit d’autant plus être relativisée dans le cas sous revue qu’il ressort des allégations de A._______ que les autres membres de sa famille (dont sa sœur) vivent toujours au pays, étant</w:t>
      </w:r>
    </w:p>
    <w:p>
      <w:r>
        <w:t>D-4134/2023 Page 9 précisé que le recourant n’a pas indiqué que lesdits proches y auraient été confrontés à des difficultés particulières depuis son départ (cf. procès-verbal de l’audition du 25 mai 2023, point 3.01, p. 6 et point 7.02, p. 10 s. ; procès-verbal de l’audition du 15 juin 2023, Q. 5 à 8, p. 2, Q. 47 à 52, p. 7 et Q. 55 s., p. 8), qu’ainsi, l’intéressé n’a pas établi à satisfaction de droit qu’il pouvait valablement se prévaloir d’une crainte objectivement fondée de persécution future déterminante en matière d’asile, en cas de retour en Afghanistan, que ni les deux vidéos qu’il a produites sur clé USB pour étayer ses allégations en lien avec la pose d’une bombe au domicile familial, ni les lettres de menaces de (…) et respectivement des talibans (cf. moyens de preuve nos 2/1 à 4/1 de l’index des moyens de preuve ; voir également les annexes 3 et 4 à l’acte de recours), indépendamment de tout examen quant à la force probante de ces moyens, ne sont aptes à remettre en cause l’analyse qui précède, eu égard à la non-pertinence (art. 3 LAsi) du récit allégué à l’appui de la demande de protection du 2 mai 2023, qu’enfin, les motifs avancés par le requérant en lien avec la situation économique dans son pays d’origine ne sont pas déterminants eux non plus, étant rappelé à ce sujet que la définition de réfugié telle qu’exprimée à l’art. 3 al. 1 LAsi est exhaustive, et qu’elle exclut toutes les autres motivations susceptibles de conduire un étranger à abandonner son pays d’origine ou de dernière résidence, comme par exemple l’absence de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l’Etat concerné, chacun peut être confronté (cf. arrêts du Tribunal D-18/2019 du 18 août 2022 consid. 7.2 et réf. cit.), que pour le surplus, il peut être renvoyé aux considérants de la décision attaquée, dès lors que ceux-ci sont suffisamment explicites et motivés, et que le recours ne contient pas d’arguments nouveaux et déterminants, susceptibles d’en remettre en cause le bien-fondé (art. 109 al. 3 LTF, par renvoi de l’art. 4 PA), qu’aussi, c’est à juste titre que le SEM a dénié la qualité de réfugié au requérant et qu’il a rejeté sa demande d’asile (cf. chiffres 1 et 2 du dispositif de la décision querellée, p. 7),</w:t>
      </w:r>
    </w:p>
    <w:p>
      <w:r>
        <w:t>D-4134/2023 Page 10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par la loi de confirmer le renvoi, que l'exécution du renvoi est ordonnée si elle est licite, raisonnablement exigible et possible (art. 83 al. 2 à 4 de la loi fédérale du 16 décembre 2005 sur les étrangers et l'intégration [LEI, RS 142.20]) ; que, si ces conditions ne sont pas réunies, l'admission provisoire doit être prononcée ; que celle-ci est réglée par les art. 83 et 84 LEI, applicables par renvoi de l'art. 44 LAsi, qu’en l’espèce, le SEM a considéré que l’exécution du renvoi de l’intéressé n’était en l’état pas raisonnablement exigible et l’a mis au bénéfice d’une admission provisoire en Suisse ; que, partant, la question de l'exécution de cette mesure n'a pas à être examinée, les conditions posées par l'art. 83 al. 2 à 4 LEI empêchant l'exécution du renvoi (illicéité, inexigibilité ou impossibilité) étant de nature alternative (cf. ATAF 2009/51 consid. 5.4), qu’au vu de ce qui précède,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doit être rejetée, elle aussi, l'une au moins des conditions cumulatives de l'art. 65 al. 1 PA n’étant en l’occurrence pas satisfaite, que, dans la mesure où il est immédiatement statué sur le fond, la requête relative à l’exemption du paiement d’une avance de frais est sans objet, que, vu l’issue de la cause, il y aurait en principe lieu de mettre les frais de procédure à la charge du recourant, conformément aux art. 63 al. 1 PA et aux art. 2 et 3 du règlement du 21 février 2008 concernant les frais,</w:t>
      </w:r>
    </w:p>
    <w:p>
      <w:r>
        <w:t>D-4134/2023 Page 11 dépens et indemnités fixés par le Tribunal administratif fédéral (FITAF, RS 173.320.2), qu’au regard des circonstances particulières du cas d’espèce, il sera toutefois exceptionnellement statué sans frais (art. 6 let. b FITAF),</w:t>
      </w:r>
    </w:p>
    <w:p>
      <w:r>
        <w:t>(dispositif page suivante)</w:t>
      </w:r>
    </w:p>
    <w:p>
      <w:r>
        <w:t>D-4134/2023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