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D-4132/2009 vom 24. November 2009</w:t>
      </w:r>
    </w:p>
    <w:p>
      <w:r>
        <w:t>Bundesverwaltungsgericht, 2009-11-24, DE</w:t>
      </w:r>
    </w:p>
    <w:p>
      <w:r>
        <w:rPr>
          <w:b/>
        </w:rPr>
        <w:t xml:space="preserve">Quelle: </w:t>
      </w:r>
      <w:r>
        <w:t>https://mcp.opencaselaw.ch/entscheid/bvger_D-4132_2009</w:t>
      </w:r>
    </w:p>
    <w:p>
      <w:r>
        <w:t>FR: TAF D-4132/2009 du 24 novembre 2009</w:t>
      </w:r>
    </w:p>
    <w:p>
      <w:r>
        <w:t>IT: TAF D-4132/2009 del 24 novembre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form- und fristgerecht eingereicht. Der Beschwerdeführer ist durch die angefochtene Verfügung besonders berührt und hat ein schutzwürdiges Interesse an deren Aufhebung beziehungsweise Änderung. Der Beschwerdeführer ist daher zur Einreichung der Beschwerde legitimiert (Art. 6 AsylG i.V.m. Art. 48 Abs. 1 sowie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Wer sich darauf beruft, dass durch sein Verhalten nach der Ausreise aus dem Heimat- oder Herkunftsstaat eine Gefährdungssituation erst geschaffen worden ist, macht subjektive Nachfluchtgründe geltend (vgl. Art. 54 AsylG).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dazu die nach wie vor gültigen und zutreffenden Ausführungen in den Entscheidungen und Mitteilungen der Schweizerischen Asylrekurskommission [EMARK] 1995 Nr. 7 E. 7b und 8 S. 67 ff.; EMARK 2000 Nr. 16 E. 5a S. 141 f., mit weiteren Hinweisen).</w:t>
      </w:r>
    </w:p>
    <w:p>
      <w:r>
        <w:rPr>
          <w:b/>
        </w:rPr>
        <w:t>E. 5.1</w:t>
      </w:r>
    </w:p>
    <w:p>
      <w:r>
        <w:t>Die Frage der Verfolgung im Heimatland wurde bereits im ersten Asylverfahren des Beschwerdeführers eingehend geprüft und mit rechtskräftigem Urteil D-1198/2008 des Bundesverwaltungsgerichts vom 25. März 2008 verneint. Auch in der Verfügung der Vorinstanz vom 26. Mai 2009 wird detailliert dargelegt, dass der Beschwerdeführer nicht hat glaubhaft machen können, vor seiner Ausreise aus dem Iran einer asylrelevanten Verfolgung ausgesetzt gewesen zu sein. Um Wiederholungen zu vermeiden, kann daher auf die diesbezüglichen zutreffenden vorinstanzlichen Ausführungen in der angefochtenen Verfügung verwiesen werden (vgl. Art. 4 VwVG i.V.m. Art. 6 AsylG und Art. 109 Abs. 3 BGG). In der Beschwerdeschrift vom 26. Juni 2009 werden dann auch überwiegend exilpolitische Aktivitäten des Beschwerdeführers vorgebracht. Zu prüfen bleibt folglich, ob der Beschwerdeführer subjektive Nachfluchtgründe geltend machen kann.</w:t>
      </w:r>
    </w:p>
    <w:p>
      <w:r>
        <w:rPr>
          <w:b/>
        </w:rPr>
        <w:t>E. 5.2</w:t>
      </w:r>
    </w:p>
    <w:p>
      <w:r>
        <w:t>Das BFM führte in seinem ablehnenden Entscheid vom 26. Mai 2009 detailliert und überzeugend aus, weshalb der Beschwerdeführer kein exponiertes exilpolitisches Profil aufweise und deshalb von den iranischen Behörden mit überwiegender Wahrscheinlichkeit nicht als ein ernsthafter und und in seinem Wirkungsgrad gefährlicher Regimegegner angesehen werde. Anlässlich der Anhörung vom 5. März 2009 habe er dann auch sein angeblich herausragendes politisches Engagement in der Schweiz auch auf Vorhalt hin nicht überzeugend darzulegen vermocht, sondern sei in Allgemeinplätze und eine später folgende Eingabe seines Rechtsvertreters geflüchtet (vgl. B20, Fragen 34-44). Aus den eingereichten Unterlagen gingen ebenfalls keine Hinweise dafür hervor, dass sich der Beschwerdeführer in herausragender Weise in der Schweiz politisch betätigt habe. Vielmehr wiesen die eingereichten Fotos darauf hin, dass er lediglich als Mitläufer "niedrig profilig" an Kundgebungen teilgenommen habe (vgl. B22, Beilagen 3, 4 und 5; B25). Der eingereichte, namentlich gekennzeichnete offene Brief im (...) enthalte neben einigen pauschalen Invektiven gegen das Regime in Teheran, wie sie auch an Kundgebungen auf Transparenten in grosser Zahl erschienen, vor allem Vorwürfe und Ermahnungen an die Adresse der iranischen Flüchtlinge in der Schweiz (vgl. B25). Er sei deshalb ebenfalls nicht geeignet, ein asylrelevantes staatliches Verfolgungsinteresse im Iran zu begründen. Im Lichte der präzisierten Spruchpraxis des Bundesverwaltungsgerichts zu exilpolitischen Tätigkeiten von Iranern in der Schweiz vermöge der Beschwerdeführer auch aus der 2005 verfügten vorläufigen Aufnahme seiner Halbschwester als Flüchtling nichts zu seinen Gunsten abzuleiten. Überdies sei er während seines Aufenthaltes im Iran keiner asylrelevanten Verfolgung ausgesetzt gewesen.</w:t>
      </w:r>
    </w:p>
    <w:p>
      <w:r>
        <w:rPr>
          <w:b/>
        </w:rPr>
        <w:t>E. 5.3</w:t>
      </w:r>
    </w:p>
    <w:p>
      <w:r>
        <w:t>In der Beschwerde wird im Wesentlichen geltend gemacht, es sei vorab festzustellen, dass die Auffassung der Vorinstanz, nur erhebliche exilpolitische Betätigung vermöge das Interesse der iranischen Sicherheitsbehörde zu wecken, angesichts der breiten und umfassenden Massnahmen der Sicherheitsdienste zur Beobachtung der politischen Aktivitäten ihrer Staatsangehörigen unrealistisch erscheine. Die Sicherheitskräfte würden einen enormen Aufwand betreiben, der sich nicht mit der Auffassung der Vorinstanz vereinbaren lasse. Diesbezüglich sei auch hervorzuheben, dass Iran kein Rechtsstaat sei, die Entscheidung über die Konsequenzen exilpolitischer Aktivität also kaum in den Händen von Richtern, sondern der Geheimdienste liege, und die Folgen nur schwer vorhersehbar seien. Die herrschende Willkür sei System inhärent und sogar erwünscht, da sie zur Einschüchterung der politisch aktiven Bevölkerung beitrage. Angesichts der meist völlig willkürlichen und unvorhersehbaren Vorgehensweise der iranischen Sicherheitskräfte erscheine die Einschätzung der Vorinstanz als äusserst gewagt. Sich auf die Unterscheidungsfähigkeit eines derart willkürlichen Staatsapparates zu verlassen, und die Gesundheit und das Leben des Beschwerdeführers in dessen Hände zu legen, sei nicht mit Art. 3 und Art. 5 AsylG vereinbar.</w:t>
      </w:r>
    </w:p>
    <w:p>
      <w:r>
        <w:rPr>
          <w:b/>
        </w:rPr>
        <w:t>E. 5.4</w:t>
      </w:r>
    </w:p>
    <w:p>
      <w:r>
        <w:t>Mit Bezug auf den Iran ist in genereller Hinsicht festzuhalten, dass durch die Neufassung des iranischen Strafrechts vom 9. Juli 1996 die politische Betätigung für staatsfeindliche Organisationen im Ausland unter Strafe gestellt wurde (Art. 498-500). Die iranischen Behörden überwachen die politischen Aktivitäten ihrer Staatsangehörigen im Ausland, wobei davon auszugehen ist, dass sie sich auf die Erfassung von Personen konzentrieren, welche über die massentypischen und niedrigprofilierten Erscheinungsformen exilpolitischer Proteste hinaus Funktionen wahrnehmen und/oder Aktivitäten entwickeln, die sie aus der Masse der mit dem Regime Unzufriedenen herausheben und als ernsthafte und potentiell gefährliche Regimegegner erscheinen lassen. Nach Erkenntnis des Bundesverwaltungsgerichts unterliegen Mitglieder in Exilorganisationen von im Iran verbotenen oppositionellen Parteien, Teilnehmer an Veranstaltungen dieser Organisationen, Mitwirkende an regimekritischen Demonstrationen, welche die dabei üblichen Plakate tragen und Parolen rufen, Teilnehmer von sonstigen regimekritischen Veranstaltungen sowie Personen, die Büchertische betreuen und Informations- und Propagandamaterial in Fussgängerzonen verteilen, keiner allgemeinen Überwachungsgefahr durch iranische Behörden. Dass die iranischen Sicherheitsbehörden zwischen tatsächlich politisch engagierten Regimekritikern und Exilaktivisten, die mit ihren Aktionen in erster Linie die Chancen auf ein Aufenthaltsrecht zu erhöhen versuchen, zu unterscheiden vermögen, darf entgegen den anderslautenden Ausführungen in der Beschwerde (vgl. S. 6 f. derselben) vorausgesetzt werden (vgl. beispielsweise BVGE D-3357/2006 vom 9. Juli 2009 E. 7.4.3 sowie Urteil des Bundesverwaltungsgerichts D-4076/2007 vom 24. September 2009 E. 5.2).</w:t>
      </w:r>
    </w:p>
    <w:p>
      <w:r>
        <w:rPr>
          <w:b/>
        </w:rPr>
        <w:t>E. 5.5</w:t>
      </w:r>
    </w:p>
    <w:p>
      <w:r>
        <w:t>Es ist festzuhalten, dass keine Hinweise aktenkundig sind, wonach der Beschwerdeführer in der Schweiz in einer hohen und in der Öffentlichkeit exponierten Kaderstelle einer Exilorganisation tätig (gewesen) wäre. Seine Aktivitäten für die DVF vermögen kein derartig politisches Profil zu entwickeln, dass die iranischen Behörden in ihm einen ernsthaften und in seinem Wirkungsgrad gefährlichen Regimegegner identifizieren könnten. Sein exilpolitisches Betätigungsfeld ist nicht geeignet, ein asylrelevantes staatliches Verfolgungsinteresse im Iran zu begründen. Das Vorbringen, die exilpolitische Aktivität seiner Halbschwester vermöge zu einer Reflexverfolgung zu führen, überzeugt nicht. Anlässlich der Anhörungen hat er nie geltend gemacht, dass er wegen seiner Halbschwester Behelligungen ausgesetzt gewesen sei oder solche befürchtet habe. Deshalb ist nicht damit zu rechnen, dass er sich wegen seiner Halbschwester vor einer Reflexverfolgung zu fürchten hat.</w:t>
      </w:r>
    </w:p>
    <w:p>
      <w:r>
        <w:rPr>
          <w:b/>
        </w:rPr>
        <w:t>E. 5.6</w:t>
      </w:r>
    </w:p>
    <w:p>
      <w:r>
        <w:t>Angesichts der aufgezeigten Sachlage erübrigt es sich, auf die weiteren Ausführungen in der Beschwerde und die eingereichten Beweismittel im Einzelnen einzugehen, da diese nicht geeignet sind, zu einer anderen rechtlichen Würdigung der Aktenlage zu führen. In Würdigung der gesamten Umstände ist somit festzustellen, dass der Beschwerdeführer einen flüchtlingsrechtlich bedeutsamen Sachverhalt weder nachgewiesen noch glaubhaft gemacht hat. Die Feststellung des BFM, der Beschwerdeführer erfülle die Flüchtlingseigenschaft nicht, ist dementsprechend zu bestätigen. Die Vorinstanz hat demnach das zweite Asylgesuch des Beschwerdeführers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Saadi gegen Italien, Urteil vom 28. Februar 2008, Beschwerde Nr. 37201/06, §§ 124-127).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7.5</w:t>
      </w:r>
    </w:p>
    <w:p>
      <w:r>
        <w:t>In Bezug auf die allgemeine Lage im Iran erachtet das Bundesverwaltungsgericht den Wegweisungsvollzug zur Zeit als generell zumutbar. Im Iran herrscht zum heutigen Zeitpunkt weder Krieg, Bürgerkrieg noch liegt eine Situation allgemeiner Gewalt vor.</w:t>
      </w:r>
    </w:p>
    <w:p>
      <w:r>
        <w:rPr>
          <w:b/>
        </w:rPr>
        <w:t>E. 7.6</w:t>
      </w:r>
    </w:p>
    <w:p>
      <w:r>
        <w:t>Es ergeben sich sodann keine in der Person des Beschwerdeführers liegenden Anhaltspunkte, die gegen die Zumutbarkeit des Wegweisungsvollzugs sprechen würden. Beim Beschwerdeführer handelt es sich um einen, gemäss Akten, gesunden Mann, der von Geburt an und bis zu seiner Ausreise im Iran gelebt hat, zuletzt in B._______, wo sich auch seine Tochter, welche bei seiner Exfrau lebt sowie seine Mutter und zwei Schwestern aufhalten (vgl. B1 S. 3). Damit kann er bei einer Rückkehr auf ein familiäres Beziehungsnetz zurückgreifen und ist mithin nicht auf sich allein gestellt. Zudem verfügt er in seiner Heimat über langjährige Arbeitserfahrungen (vgl. A1, S. 2). Nach dem Gesagten erweist sich der Vollzug der Wegweisung auch als zumutbar.</w:t>
      </w:r>
    </w:p>
    <w:p>
      <w:r>
        <w:rPr>
          <w:b/>
        </w:rPr>
        <w:t>E. 7.7</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die Kosten dem Beschwerdeführer aufzuerlegen (Art. 63 Abs. 1 und 5 VwVG), auf insgesamt Fr. 600.-- festzusetzen (Art. 1-3 des Reglements vom 21. Februar 2008 über die Kosten und Entschädigungen vor dem Bundesverwaltungsgericht [VGKE, SR 173.320.2]) und mit dem am 16. September 2009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