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D-4131/2009 vom 31. Oktober 2011</w:t>
      </w:r>
    </w:p>
    <w:p>
      <w:r>
        <w:t>Bundesverwaltungsgericht, 2011-10-31, DE</w:t>
      </w:r>
    </w:p>
    <w:p>
      <w:r>
        <w:rPr>
          <w:b/>
        </w:rPr>
        <w:t xml:space="preserve">Quelle: </w:t>
      </w:r>
      <w:r>
        <w:t>https://mcp.opencaselaw.ch/entscheid/bvger_D-4131_2009</w:t>
      </w:r>
    </w:p>
    <w:p>
      <w:r>
        <w:t>FR: TAF D-4131/2009 du 31 octobre 2011</w:t>
      </w:r>
    </w:p>
    <w:p>
      <w:r>
        <w:t>IT: TAF D-4131/2009 del 31 ottobre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Auslieferungsbegehrens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sowie Art. 52 VwVG). Auf die Beschwerde ist einzutreten.</w:t>
      </w:r>
    </w:p>
    <w:p>
      <w:r>
        <w:rPr>
          <w:b/>
        </w:rPr>
        <w:t>E. 3</w:t>
      </w:r>
    </w:p>
    <w:p>
      <w:r>
        <w:t>Die Ziffern 1, 2 und 3 des Dispositivs der vorinstanzlichen Verfügung vom 3. Juni 2009 betreffend die Verneinung der Flüchtlingseigenschaft, die Ablehnung des Asylgesuchs und die Wegweisung als solche blieben vorliegend unangefochten und sind mit Ablauf der Beschwerdefrist in Rechtskraft erwachsen. Die Beschwerde richtet sich einzig gegen den Vollzug der Wegweisung. Gegenstand des vorliegenden Beschwerdeverfahrens bildet somit einzig die Frage, ob das Bundesamt den Vollzug der Wegweisung zu Recht als zulässig, zumutbar und möglich erklärt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4.2.1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Die Vorinstanz wies in der angefochtenen Verfügung zutreffend darauf hin, dass der Grundsatz der Nichtrückschiebung nur Personen schützt, die die Flüchtlingseigenschaft erfüllen. 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w:t>
      </w:r>
    </w:p>
    <w:p>
      <w:r>
        <w:rPr>
          <w:b/>
        </w:rPr>
        <w:t>E. 4.2.3</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Dies ist ihm nicht gelungen. Auch die allgemeine Menschenrechtslage im Irak lässt den Wegweisungsvollzugs zum heutigen Zeitpunkt nicht als unzulässig erscheinen.</w:t>
      </w:r>
    </w:p>
    <w:p>
      <w:r>
        <w:rPr>
          <w:b/>
        </w:rPr>
        <w:t>E. 4.2.4</w:t>
      </w:r>
    </w:p>
    <w:p>
      <w:r>
        <w:t>Nach dem Gesagten ist der Vollzug der Wegweisung sowohl im Sinne der asyl- als auch der völkerrechtlichen Bestimmungen zulässig.</w:t>
      </w:r>
    </w:p>
    <w:p>
      <w:r>
        <w:rPr>
          <w:b/>
        </w:rPr>
        <w:t>E. 4.3.1</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4.3.2</w:t>
      </w:r>
    </w:p>
    <w:p>
      <w:r>
        <w:t>Das Bundesverwaltungsgericht ist in seinem Grundsatzurteil vom 14. März 2008 (BVGE 2008/5) aufgrund einer umfassenden Beurteilung der aktuellen Situation in den nordirakischen Provinzen Dohuk, Erbil und Suleimaniya zum Schluss gekommen, dass in den drei kurdischen Provinzen keine Situation allgemeiner Gewalt herrscht und die dortige Lage nicht dermassen angespannt ist, als dass eine Rückführung dorthin als generell unzumutbar betrachtet werden müsste. Die Region ist zudem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a.a.O. E. 7.5 und insbesondere 7.5.8). Auch das UNHCR spricht sich nicht generell gegen Wegweisungen in die betreffenden nordirakischen Provinzen aus. Es empfiehlt eine individuelle Prüfung jedes einzelnen Falles (UNHCR's Eligibility Guidelines for Assessing the International Protection Needs of Iraqi Asylum-Seekers, August 2007, S. 131; s. auch UNHCR, Governorate Assessment Report - Suleimaniya Governorate, September 2007). Diesem Anliegen wird mit der Einzelfallprüfung allfälliger individueller Wegweisungshindernisse Rechnung getragen.</w:t>
      </w:r>
    </w:p>
    <w:p>
      <w:r>
        <w:rPr>
          <w:b/>
        </w:rPr>
        <w:t>E. 4.3.3</w:t>
      </w:r>
    </w:p>
    <w:p>
      <w:r>
        <w:t>Gemäss der vom Beschwerdeführer eingereichten Identitätskarte wurde er in I._______, Dohuk, geboren. Seinen eigenen Angaben zufolge stammt er aus dem Dorf F._______ in der Provinz Dohuk, wo er zusammen mit seiner Familie bis zum Krieg im Jahr (...) gewohnt habe; in jenem Jahr sei das Dorf mehrfach zerstört worden, die Familie habe jedoch nicht im Dorf, sondern in der Nähe eines anderen Dorfs gewohnt, sei indes, als man auch dort nicht mehr habe leben können, nach G._______ in der Provinz Mosul gezogen, wo (...) des Beschwerdeführers nach wie vor wohnhaft seien. Aufgrund der Aktenlage ergeben sich erhebliche Zweifel am Vorbringen des Beschwerdeführers, er sei die letzten (...) Jahre vor der Ausreise aus dem Heimatstaat in G._______ wohnhaft gewesen. So steht zum einen die Unglaubhaftigkeit der geltend gemachten Verfolgungsvorbringen rechtskräftig fest. Zum andern erwies sich im Rahmen des vom Sachverständigen der Fachstelle Lingua mit dem Beschwerdeführer geführten Gesprächs, dass dieser mit der von ihm erwähnten Herkunftsregion (...) im Nordosten der Stadt Dohuk gut vertraut war, wogegen seine Schilderung von G._______ und der dortigen Region nicht derjenigen einer Person entsprach, die sich dort während immerhin (...) Jahren aufgehalten haben will. Diese Zweifel werden durch den Umstand verfestigt, dass sich der Ort G._______ gemäss den Angaben des Beschwerdeführers sowohl im erstinstanzlichen Verfahren als auch auf Beschwerdeebene in der Provinz Mosul befindet, jedoch keine Provinz Mosul existiert. Unter den gegebenen Umständen schätzt das Bundesverwaltungsgericht denn auch den Beweiswert der vom Beschwerdeführer eingereichten (...)aus der Provinz Mosul in Übereinstimmung mit der Vorinstanz als äusserst gering ein, weshalb sich eine Nachreichung des Originals des Dokuments erübrigt. Zudem ist davon auszugehen, dass der Beschwerdeführer, selbst wenn er sich tatsächlich während der letzten (...) Jahre vor der Ausreise in G._______ aufgehalten hätte, in der Provinz Dohuk, wo er den grösseren Teil seines Lebens verbracht hat, nach wie vor über ein Beziehungsnetz besitzt. Sodann befindet sich G._______, wo angeblich (...) des Beschwerdeführers wohnhaft sind, in einer Entfernung von höchstens (...) von Dohuk. Schliesslich war der noch relative junge, alleinstehende und soweit ersichtlich gesunde Beschwerdeführer, obwohl er gemäss eigenen Angaben über keine Schuldbildung verfügt, in seinem Heimatstaat bis kurz vor der Ausreise (...) erwerbstätig, in welcher Branche er in der Folge auch während seines Aufenthalts in der Schweiz zwischenzeitlich arbeitete. Unter diesen Umständen kann davon ausge­gangen werden, dass er sich mit Hilfe seiner Verwandten, die ihm bei einer unerwarteten Notlage wohl kaum eine minimale Unterstützung ver­weigern würden, wieder in den irakischen Arbeitsmarkt wird integrieren können. Überdies sind keine weiteren individuellen Gründe ersichtlich, aufgrund derer allenfalls geschlossen werden könnte, der Beschwerdeführer gerate im Falle der Rückkehr in die Heimat in eine existenzbedrohende Situation. Bei dieser Sachlage ist der Vollzug der Wegweisung - in Übereinstimmung mit dem BFM - als zu­mutbar zu erkennen.</w:t>
      </w:r>
    </w:p>
    <w:p>
      <w:r>
        <w:rPr>
          <w:b/>
        </w:rPr>
        <w:t>E. 4.4</w:t>
      </w:r>
    </w:p>
    <w:p>
      <w:r>
        <w:t>Schliesslich obliegt es dem Beschwerdeführer, sich bei der zuständigen Vertretung seines Heimatstaates die für eine Rückkehr notwendigen Reisepapiere zu beschaffen (Art. 8 Abs. 4 AsylG; vgl. auch BVGE 2008/34 E. 12 S. 513 ff.), weshalb der Vollzug der Wegweisung auch als möglich zu bezeichnen ist.</w:t>
      </w:r>
    </w:p>
    <w:p>
      <w:r>
        <w:rPr>
          <w:b/>
        </w:rPr>
        <w:t>E. 4.5</w:t>
      </w:r>
    </w:p>
    <w:p>
      <w:r>
        <w:t>Insgesamt ist der durch die Vorinstanz verfügte Vollzug der Wegweisung zu bestätigen. Das BFM hat diesen zu Recht als zulässig, zumutbar und möglich erachtet. Nach dem Gesagten fällt eine Anordnung der vorläufigen Aufnahme ausser Betracht (Art.83 Abs. 1 - 4 AuG).</w:t>
      </w:r>
    </w:p>
    <w:p>
      <w:r>
        <w:rPr>
          <w:b/>
        </w:rPr>
        <w:t>E. 5</w:t>
      </w:r>
    </w:p>
    <w:p>
      <w:r>
        <w:t>Zusammenfassend ergibt sich somit, dass die angefochtene Verfügung Bundesrecht nicht verletzt, den rechtserheblichen Sachverhalt richtig und vollständig feststellt und angemessen ist (Art. 49 VwVG). Die Beschwerde ist daher abzuweisen.</w:t>
      </w:r>
    </w:p>
    <w:p>
      <w:r>
        <w:rPr>
          <w:b/>
        </w:rPr>
        <w:t>E. 6</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das in der Beschwerde vom 26. Juni 2009 gestellte Gesuch um Gewährung der unentgeltlichen Rechtspflege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